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p>
    <w:p w:rsidR="00B9522B" w:rsidRPr="00155B24" w:rsidRDefault="00E10D6F" w:rsidP="00B9522B">
      <w:pPr>
        <w:ind w:left="709"/>
        <w:jc w:val="center"/>
        <w:rPr>
          <w:rFonts w:ascii="Century Gothic" w:hAnsi="Century Gothic" w:cs="Calibri"/>
          <w:b/>
          <w:color w:val="000000"/>
          <w:sz w:val="18"/>
          <w:szCs w:val="18"/>
        </w:rPr>
      </w:pPr>
      <w:r>
        <w:rPr>
          <w:rFonts w:ascii="Century Gothic" w:hAnsi="Century Gothic" w:cs="Calibri"/>
          <w:b/>
          <w:color w:val="000000"/>
          <w:sz w:val="18"/>
          <w:szCs w:val="18"/>
        </w:rPr>
        <w:t>COMUNICADOR SOCIAL</w:t>
      </w: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F447F9" w:rsidRDefault="00537AB5" w:rsidP="00F447F9">
      <w:pPr>
        <w:jc w:val="both"/>
        <w:rPr>
          <w:rFonts w:ascii="Century Gothic" w:hAnsi="Century Gothic" w:cs="Calibri"/>
          <w:color w:val="000000"/>
          <w:sz w:val="18"/>
          <w:szCs w:val="18"/>
        </w:rPr>
      </w:pPr>
      <w:r w:rsidRPr="00F447F9">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C82AE8" w:rsidP="007E6C04">
      <w:pPr>
        <w:jc w:val="both"/>
        <w:rPr>
          <w:rFonts w:ascii="Century Gothic" w:hAnsi="Century Gothic" w:cs="Calibri"/>
          <w:color w:val="000000"/>
          <w:sz w:val="18"/>
          <w:szCs w:val="18"/>
        </w:rPr>
      </w:pPr>
      <w:r>
        <w:rPr>
          <w:rFonts w:ascii="Century Gothic" w:hAnsi="Century Gothic" w:cs="Calibri"/>
          <w:color w:val="000000"/>
          <w:sz w:val="18"/>
          <w:szCs w:val="18"/>
        </w:rPr>
        <w:t>D</w:t>
      </w:r>
      <w:r w:rsidR="00252177">
        <w:rPr>
          <w:rFonts w:ascii="Century Gothic" w:hAnsi="Century Gothic" w:cs="Calibri"/>
          <w:color w:val="000000"/>
          <w:sz w:val="18"/>
          <w:szCs w:val="18"/>
        </w:rPr>
        <w:t>urante el desarrollo y en el cierre del Proceso de Empadronamiento, los coordinadores electorales, establecen nexos con organizaciones de la sociedad civil, autoridades originarias y otros para la instalación</w:t>
      </w:r>
      <w:r>
        <w:rPr>
          <w:rFonts w:ascii="Century Gothic" w:hAnsi="Century Gothic" w:cs="Calibri"/>
          <w:color w:val="000000"/>
          <w:sz w:val="18"/>
          <w:szCs w:val="18"/>
        </w:rPr>
        <w:t xml:space="preserve"> de centros de empadronamiento,</w:t>
      </w:r>
      <w:r w:rsidR="00252177">
        <w:rPr>
          <w:rFonts w:ascii="Century Gothic" w:hAnsi="Century Gothic" w:cs="Calibri"/>
          <w:color w:val="000000"/>
          <w:sz w:val="18"/>
          <w:szCs w:val="18"/>
        </w:rPr>
        <w:t xml:space="preserve"> </w:t>
      </w:r>
      <w:r>
        <w:rPr>
          <w:rFonts w:ascii="Century Gothic" w:hAnsi="Century Gothic" w:cs="Calibri"/>
          <w:color w:val="000000"/>
          <w:sz w:val="18"/>
          <w:szCs w:val="18"/>
        </w:rPr>
        <w:t>c</w:t>
      </w:r>
      <w:r w:rsidR="00252177">
        <w:rPr>
          <w:rFonts w:ascii="Century Gothic" w:hAnsi="Century Gothic" w:cs="Calibri"/>
          <w:color w:val="000000"/>
          <w:sz w:val="18"/>
          <w:szCs w:val="18"/>
        </w:rPr>
        <w:t xml:space="preserve">oordinan el desplazamiento y adecuado funcionamiento </w:t>
      </w:r>
      <w:r>
        <w:rPr>
          <w:rFonts w:ascii="Century Gothic" w:hAnsi="Century Gothic" w:cs="Calibri"/>
          <w:color w:val="000000"/>
          <w:sz w:val="18"/>
          <w:szCs w:val="18"/>
        </w:rPr>
        <w:t xml:space="preserve">de unidades de empadronamiento </w:t>
      </w:r>
      <w:r w:rsidR="00252177">
        <w:rPr>
          <w:rFonts w:ascii="Century Gothic" w:hAnsi="Century Gothic" w:cs="Calibri"/>
          <w:color w:val="000000"/>
          <w:sz w:val="18"/>
          <w:szCs w:val="18"/>
        </w:rPr>
        <w:t>en áreas urbanas y rurales del departamento.</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2F73A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Centros de Empadronamiento </w:t>
      </w:r>
      <w:r w:rsidR="00252177">
        <w:rPr>
          <w:rFonts w:ascii="Century Gothic" w:hAnsi="Century Gothic" w:cs="Calibri"/>
          <w:color w:val="000000"/>
          <w:sz w:val="18"/>
          <w:szCs w:val="18"/>
        </w:rPr>
        <w:t xml:space="preserve">instalados y en funcionamiento, </w:t>
      </w:r>
      <w:r>
        <w:rPr>
          <w:rFonts w:ascii="Century Gothic" w:hAnsi="Century Gothic" w:cs="Calibri"/>
          <w:color w:val="000000"/>
          <w:sz w:val="18"/>
          <w:szCs w:val="18"/>
        </w:rPr>
        <w:t xml:space="preserve"> atención permanente del servicio de registro a la ciudadanía durante el periodo de empadronamiento definido por el </w:t>
      </w:r>
      <w:r w:rsidR="00C82AE8">
        <w:rPr>
          <w:rFonts w:ascii="Century Gothic" w:hAnsi="Century Gothic" w:cs="Calibri"/>
          <w:color w:val="000000"/>
          <w:sz w:val="18"/>
          <w:szCs w:val="18"/>
        </w:rPr>
        <w:t>SERECÍ</w:t>
      </w:r>
      <w:r>
        <w:rPr>
          <w:rFonts w:ascii="Century Gothic" w:hAnsi="Century Gothic" w:cs="Calibri"/>
          <w:color w:val="000000"/>
          <w:sz w:val="18"/>
          <w:szCs w:val="18"/>
        </w:rPr>
        <w:t>.</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2C50C1" w:rsidRDefault="002C50C1" w:rsidP="002C50C1">
      <w:pPr>
        <w:ind w:left="142"/>
        <w:jc w:val="both"/>
        <w:rPr>
          <w:rFonts w:ascii="Century Gothic" w:hAnsi="Century Gothic" w:cs="Calibri"/>
          <w:color w:val="000000"/>
          <w:sz w:val="18"/>
          <w:szCs w:val="18"/>
        </w:rPr>
      </w:pPr>
    </w:p>
    <w:p w:rsidR="002C50C1" w:rsidRPr="00ED37D8" w:rsidRDefault="002C50C1" w:rsidP="002C50C1">
      <w:pPr>
        <w:ind w:left="142"/>
        <w:jc w:val="both"/>
        <w:rPr>
          <w:rFonts w:ascii="Century Gothic" w:hAnsi="Century Gothic" w:cs="Calibri"/>
          <w:color w:val="000000"/>
          <w:sz w:val="18"/>
          <w:szCs w:val="18"/>
        </w:rPr>
      </w:pPr>
      <w:r w:rsidRPr="00ED37D8">
        <w:rPr>
          <w:rFonts w:ascii="Century Gothic" w:hAnsi="Century Gothic" w:cs="Calibri"/>
          <w:color w:val="000000"/>
          <w:sz w:val="18"/>
          <w:szCs w:val="18"/>
        </w:rPr>
        <w:t xml:space="preserve">Las funciones a desempeñar por </w:t>
      </w:r>
      <w:r>
        <w:rPr>
          <w:rFonts w:ascii="Century Gothic" w:hAnsi="Century Gothic" w:cs="Calibri"/>
          <w:color w:val="000000"/>
          <w:sz w:val="18"/>
          <w:szCs w:val="18"/>
        </w:rPr>
        <w:t xml:space="preserve">el </w:t>
      </w:r>
      <w:r w:rsidR="00834044">
        <w:rPr>
          <w:rFonts w:ascii="Century Gothic" w:hAnsi="Century Gothic" w:cs="Calibri"/>
          <w:color w:val="000000"/>
          <w:sz w:val="18"/>
          <w:szCs w:val="18"/>
        </w:rPr>
        <w:t xml:space="preserve">Técnico en Comunicación e Información, </w:t>
      </w:r>
      <w:r w:rsidRPr="00ED37D8">
        <w:rPr>
          <w:rFonts w:ascii="Century Gothic" w:hAnsi="Century Gothic" w:cs="Calibri"/>
          <w:color w:val="000000"/>
          <w:sz w:val="18"/>
          <w:szCs w:val="18"/>
        </w:rPr>
        <w:t>durante la etapa de empadronamiento serán las siguientes:</w:t>
      </w:r>
    </w:p>
    <w:p w:rsidR="00A23406" w:rsidRPr="002C50C1" w:rsidRDefault="00A23406" w:rsidP="006837DC">
      <w:pPr>
        <w:pStyle w:val="Sinespaciado"/>
        <w:jc w:val="both"/>
        <w:rPr>
          <w:rFonts w:ascii="Century Gothic" w:hAnsi="Century Gothic" w:cs="Tahoma"/>
          <w:sz w:val="18"/>
          <w:szCs w:val="18"/>
          <w:lang w:eastAsia="es-ES"/>
        </w:rPr>
      </w:pP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Apoyar en tareas administrativas</w:t>
      </w:r>
    </w:p>
    <w:p w:rsidR="005763D9" w:rsidRPr="00C82AE8" w:rsidRDefault="00C52D96" w:rsidP="00252177">
      <w:pPr>
        <w:pStyle w:val="Prrafodelista"/>
        <w:ind w:left="709"/>
        <w:jc w:val="both"/>
        <w:rPr>
          <w:rFonts w:ascii="Century Gothic" w:hAnsi="Century Gothic" w:cs="Arial"/>
          <w:sz w:val="18"/>
          <w:szCs w:val="18"/>
        </w:rPr>
      </w:pPr>
      <w:r>
        <w:rPr>
          <w:rFonts w:ascii="Century Gothic" w:hAnsi="Century Gothic" w:cs="Arial"/>
          <w:sz w:val="18"/>
          <w:szCs w:val="18"/>
        </w:rPr>
        <w:t xml:space="preserve">Socializar </w:t>
      </w:r>
      <w:r w:rsidR="005763D9" w:rsidRPr="00C82AE8">
        <w:rPr>
          <w:rFonts w:ascii="Century Gothic" w:hAnsi="Century Gothic" w:cs="Arial"/>
          <w:sz w:val="18"/>
          <w:szCs w:val="18"/>
        </w:rPr>
        <w:t>la ubicación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con organizaciones sociales y organizaciones de la sociedad civil la instalación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 xml:space="preserve">Realizar viajes de </w:t>
      </w:r>
      <w:r w:rsidR="00C52D96">
        <w:rPr>
          <w:rFonts w:ascii="Century Gothic" w:hAnsi="Century Gothic" w:cs="Arial"/>
          <w:sz w:val="18"/>
          <w:szCs w:val="18"/>
        </w:rPr>
        <w:t xml:space="preserve">Socialización </w:t>
      </w:r>
      <w:r w:rsidRPr="00C82AE8">
        <w:rPr>
          <w:rFonts w:ascii="Century Gothic" w:hAnsi="Century Gothic" w:cs="Arial"/>
          <w:sz w:val="18"/>
          <w:szCs w:val="18"/>
        </w:rPr>
        <w:t>de acuerdo a lo programado por el SERECI.</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Prestar apoyo en trabajos técnicos</w:t>
      </w:r>
    </w:p>
    <w:p w:rsidR="005763D9" w:rsidRPr="00C52D96" w:rsidRDefault="005763D9" w:rsidP="00C52D96">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el despliegue y traslado de unidades de empadronamiento</w:t>
      </w:r>
      <w:r w:rsidR="00863FF8">
        <w:rPr>
          <w:rFonts w:ascii="Century Gothic" w:hAnsi="Century Gothic" w:cs="Arial"/>
          <w:sz w:val="18"/>
          <w:szCs w:val="18"/>
        </w:rPr>
        <w:t xml:space="preserve"> con el personal a su cargo</w:t>
      </w:r>
      <w:r w:rsidRPr="00C82AE8">
        <w:rPr>
          <w:rFonts w:ascii="Century Gothic" w:hAnsi="Century Gothic" w:cs="Arial"/>
          <w:sz w:val="18"/>
          <w:szCs w:val="18"/>
        </w:rPr>
        <w:t>.</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Coadyuvar en la elaboración de informes</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 xml:space="preserve">Emisión de Informes de </w:t>
      </w:r>
      <w:r w:rsidR="00C52D96">
        <w:rPr>
          <w:rFonts w:ascii="Century Gothic" w:hAnsi="Century Gothic" w:cs="Arial"/>
          <w:sz w:val="18"/>
          <w:szCs w:val="18"/>
        </w:rPr>
        <w:t xml:space="preserve">actividades y a requerimiento de la </w:t>
      </w:r>
      <w:r w:rsidRPr="00C82AE8">
        <w:rPr>
          <w:rFonts w:ascii="Century Gothic" w:hAnsi="Century Gothic" w:cs="Arial"/>
          <w:sz w:val="18"/>
          <w:szCs w:val="18"/>
        </w:rPr>
        <w:t>autoridad competente</w:t>
      </w:r>
      <w:r w:rsidR="00863FF8">
        <w:rPr>
          <w:rFonts w:ascii="Century Gothic" w:hAnsi="Century Gothic" w:cs="Arial"/>
          <w:sz w:val="18"/>
          <w:szCs w:val="18"/>
        </w:rPr>
        <w:t xml:space="preserve"> y del personal a su cargo</w:t>
      </w:r>
      <w:r w:rsidRPr="00C82AE8">
        <w:rPr>
          <w:rFonts w:ascii="Century Gothic" w:hAnsi="Century Gothic" w:cs="Arial"/>
          <w:sz w:val="18"/>
          <w:szCs w:val="18"/>
        </w:rPr>
        <w:t>.</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Procesar documentos e información</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Ejecutar actividades y proporcionar información de acuerdo a lo establecido por el SERECI Departamental</w:t>
      </w:r>
    </w:p>
    <w:p w:rsidR="005763D9"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Realizar tareas de verificación, transcripción, digitalización y otros de naturaleza similares</w:t>
      </w:r>
    </w:p>
    <w:p w:rsidR="005763D9" w:rsidRPr="00C82AE8" w:rsidRDefault="005763D9" w:rsidP="00B17A0D">
      <w:pPr>
        <w:pStyle w:val="Sinespaciado"/>
        <w:ind w:left="709"/>
        <w:jc w:val="both"/>
        <w:rPr>
          <w:rFonts w:ascii="Century Gothic" w:hAnsi="Century Gothic" w:cs="Tahoma"/>
          <w:color w:val="000000"/>
          <w:sz w:val="18"/>
          <w:szCs w:val="18"/>
          <w:lang w:eastAsia="es-ES"/>
        </w:rPr>
      </w:pPr>
      <w:r w:rsidRPr="00C82AE8">
        <w:rPr>
          <w:rFonts w:ascii="Century Gothic" w:hAnsi="Century Gothic" w:cs="Tahoma"/>
          <w:color w:val="000000"/>
          <w:sz w:val="18"/>
          <w:szCs w:val="18"/>
          <w:lang w:eastAsia="es-ES"/>
        </w:rPr>
        <w:t>Verificar la adecuada entrega y recepción de discos de respaldo y formularios de empadronamiento durante todo el proceso.</w:t>
      </w:r>
      <w:r w:rsidR="00C52D96">
        <w:rPr>
          <w:rFonts w:ascii="Century Gothic" w:hAnsi="Century Gothic" w:cs="Tahoma"/>
          <w:color w:val="000000"/>
          <w:sz w:val="18"/>
          <w:szCs w:val="18"/>
          <w:lang w:eastAsia="es-ES"/>
        </w:rPr>
        <w:t xml:space="preserve"> Si corresponde.</w:t>
      </w:r>
    </w:p>
    <w:p w:rsidR="00537AB5"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O</w:t>
      </w:r>
      <w:r w:rsidRPr="00C82AE8">
        <w:rPr>
          <w:rFonts w:ascii="Century Gothic" w:hAnsi="Century Gothic" w:cs="Tahoma"/>
          <w:color w:val="FF0000"/>
          <w:sz w:val="18"/>
          <w:szCs w:val="18"/>
          <w:lang w:eastAsia="es-ES"/>
        </w:rPr>
        <w:t>tras funcio</w:t>
      </w:r>
      <w:r>
        <w:rPr>
          <w:rFonts w:ascii="Century Gothic" w:hAnsi="Century Gothic" w:cs="Tahoma"/>
          <w:color w:val="FF0000"/>
          <w:sz w:val="18"/>
          <w:szCs w:val="18"/>
          <w:lang w:eastAsia="es-ES"/>
        </w:rPr>
        <w:t>nes asignadas por el supervisor</w:t>
      </w:r>
    </w:p>
    <w:p w:rsidR="00537AB5" w:rsidRPr="00C82AE8" w:rsidRDefault="005763D9" w:rsidP="00B17A0D">
      <w:pPr>
        <w:pStyle w:val="Sinespaciado"/>
        <w:ind w:left="709"/>
        <w:jc w:val="both"/>
        <w:rPr>
          <w:rFonts w:ascii="Century Gothic" w:hAnsi="Century Gothic" w:cs="Tahoma"/>
          <w:color w:val="FF0000"/>
          <w:sz w:val="18"/>
          <w:szCs w:val="18"/>
          <w:lang w:eastAsia="es-ES"/>
        </w:rPr>
      </w:pPr>
      <w:r w:rsidRPr="00C82AE8">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80196A" w:rsidRPr="0006667F"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9C14EA" w:rsidRDefault="009C14E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0C5620">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9C14EA">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FF09D2" w:rsidRDefault="00376E5F" w:rsidP="00CC5FF0">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p w:rsidR="00376E5F" w:rsidRDefault="00834044" w:rsidP="000C5620">
            <w:pPr>
              <w:rPr>
                <w:rFonts w:ascii="Century Gothic" w:hAnsi="Century Gothic" w:cs="Arial"/>
                <w:bCs/>
                <w:color w:val="FF0000"/>
                <w:sz w:val="18"/>
                <w:szCs w:val="18"/>
              </w:rPr>
            </w:pPr>
            <w:r>
              <w:rPr>
                <w:rFonts w:ascii="Century Gothic" w:hAnsi="Century Gothic" w:cs="Arial"/>
                <w:bCs/>
                <w:sz w:val="18"/>
                <w:szCs w:val="18"/>
              </w:rPr>
              <w:t xml:space="preserve">Egresado </w:t>
            </w:r>
            <w:r w:rsidR="00176C48">
              <w:rPr>
                <w:rFonts w:ascii="Century Gothic" w:hAnsi="Century Gothic" w:cs="Arial"/>
                <w:bCs/>
                <w:sz w:val="18"/>
                <w:szCs w:val="18"/>
              </w:rPr>
              <w:t>en</w:t>
            </w:r>
            <w:r w:rsidR="002F73A2">
              <w:rPr>
                <w:rFonts w:ascii="Century Gothic" w:hAnsi="Century Gothic" w:cs="Arial"/>
                <w:bCs/>
                <w:sz w:val="18"/>
                <w:szCs w:val="18"/>
              </w:rPr>
              <w:t xml:space="preserve"> </w:t>
            </w:r>
            <w:r>
              <w:rPr>
                <w:rFonts w:ascii="Century Gothic" w:hAnsi="Century Gothic" w:cs="Arial"/>
                <w:bCs/>
                <w:sz w:val="18"/>
                <w:szCs w:val="18"/>
              </w:rPr>
              <w:t>el área</w:t>
            </w:r>
            <w:r w:rsidR="002F73A2">
              <w:rPr>
                <w:rFonts w:ascii="Century Gothic" w:hAnsi="Century Gothic" w:cs="Arial"/>
                <w:bCs/>
                <w:sz w:val="18"/>
                <w:szCs w:val="18"/>
              </w:rPr>
              <w:t xml:space="preserve"> </w:t>
            </w:r>
            <w:r w:rsidR="00C52D96">
              <w:rPr>
                <w:rFonts w:ascii="Century Gothic" w:hAnsi="Century Gothic" w:cs="Arial"/>
                <w:bCs/>
                <w:sz w:val="18"/>
                <w:szCs w:val="18"/>
              </w:rPr>
              <w:t>de Comunicación Social</w:t>
            </w:r>
            <w:r w:rsidR="002F73A2">
              <w:rPr>
                <w:rFonts w:ascii="Century Gothic" w:hAnsi="Century Gothic" w:cs="Arial"/>
                <w:bCs/>
                <w:sz w:val="18"/>
                <w:szCs w:val="18"/>
              </w:rPr>
              <w:t xml:space="preserve">. </w:t>
            </w:r>
            <w:r w:rsidR="00FF09D2" w:rsidRPr="00FF09D2">
              <w:rPr>
                <w:rFonts w:ascii="Century Gothic" w:hAnsi="Century Gothic" w:cs="Arial"/>
                <w:bCs/>
                <w:color w:val="FF0000"/>
                <w:sz w:val="18"/>
                <w:szCs w:val="18"/>
              </w:rPr>
              <w:t xml:space="preserve"> </w:t>
            </w:r>
          </w:p>
          <w:p w:rsidR="009C14EA" w:rsidRPr="00FF09D2" w:rsidRDefault="009C14EA" w:rsidP="000C5620">
            <w:pPr>
              <w:rPr>
                <w:rFonts w:ascii="Century Gothic" w:hAnsi="Century Gothic" w:cs="Arial"/>
                <w:bCs/>
                <w:color w:val="FF0000"/>
                <w:sz w:val="18"/>
                <w:szCs w:val="18"/>
              </w:rPr>
            </w:pPr>
          </w:p>
        </w:tc>
      </w:tr>
      <w:tr w:rsidR="009C14EA" w:rsidRPr="00FF09D2" w:rsidTr="000C5620">
        <w:trPr>
          <w:trHeight w:val="300"/>
        </w:trPr>
        <w:tc>
          <w:tcPr>
            <w:tcW w:w="1037" w:type="pct"/>
            <w:gridSpan w:val="2"/>
            <w:tcBorders>
              <w:top w:val="nil"/>
              <w:bottom w:val="single" w:sz="8" w:space="0" w:color="000000"/>
            </w:tcBorders>
            <w:shd w:val="clear" w:color="auto" w:fill="auto"/>
          </w:tcPr>
          <w:p w:rsidR="009C14EA" w:rsidRPr="00376E5F" w:rsidRDefault="009C14EA" w:rsidP="009C14EA">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lastRenderedPageBreak/>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9C14EA" w:rsidRPr="00376E5F" w:rsidRDefault="009C14EA" w:rsidP="009C14EA">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9C14EA" w:rsidRPr="00EB7234" w:rsidRDefault="009C14EA" w:rsidP="000C669E">
            <w:pPr>
              <w:jc w:val="both"/>
              <w:rPr>
                <w:rFonts w:ascii="Century Gothic" w:hAnsi="Century Gothic" w:cs="Arial"/>
                <w:bCs/>
                <w:sz w:val="18"/>
                <w:szCs w:val="18"/>
              </w:rPr>
            </w:pPr>
          </w:p>
        </w:tc>
      </w:tr>
    </w:tbl>
    <w:p w:rsidR="008342ED" w:rsidRPr="006042D6" w:rsidRDefault="008342ED" w:rsidP="00515BDD">
      <w:pPr>
        <w:jc w:val="both"/>
        <w:rPr>
          <w:rFonts w:ascii="Century Gothic" w:hAnsi="Century Gothic" w:cs="Calibri"/>
          <w:b/>
          <w:bCs/>
          <w:color w:val="5F497A"/>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Default="00CC7B75" w:rsidP="00515BDD">
      <w:pPr>
        <w:jc w:val="both"/>
        <w:rPr>
          <w:rFonts w:ascii="Century Gothic" w:hAnsi="Century Gothic" w:cs="Calibri"/>
          <w:bCs/>
          <w:color w:val="000000"/>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9C14EA" w:rsidRPr="006042D6" w:rsidRDefault="009C14EA" w:rsidP="00515BDD">
      <w:pPr>
        <w:jc w:val="both"/>
        <w:rPr>
          <w:rFonts w:ascii="Century Gothic" w:hAnsi="Century Gothic" w:cs="Calibri"/>
          <w:b/>
          <w:bCs/>
          <w:color w:val="5F497A"/>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743565" w:rsidRPr="00622691" w:rsidRDefault="00743565" w:rsidP="00622691">
      <w:pPr>
        <w:ind w:left="1418"/>
        <w:jc w:val="both"/>
        <w:rPr>
          <w:rFonts w:ascii="Century Gothic" w:hAnsi="Century Gothic" w:cs="Calibri"/>
          <w:bCs/>
          <w:sz w:val="18"/>
          <w:szCs w:val="18"/>
        </w:rPr>
      </w:pP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Certificado de estar registrado en el Padrón Electoral emitido por SERECI.</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Declaración jurada de inexistencia de parentesco con autoridades y personal del SERECI o Tribunal Electoral Departamental </w:t>
      </w:r>
      <w:r>
        <w:rPr>
          <w:rFonts w:ascii="Century Gothic" w:hAnsi="Century Gothic" w:cs="Calibri"/>
          <w:bCs/>
          <w:sz w:val="18"/>
          <w:szCs w:val="18"/>
        </w:rPr>
        <w:t xml:space="preserve">de </w:t>
      </w:r>
      <w:r w:rsidR="000C669E">
        <w:rPr>
          <w:rFonts w:ascii="Century Gothic" w:hAnsi="Century Gothic" w:cs="Calibri"/>
          <w:bCs/>
          <w:sz w:val="18"/>
          <w:szCs w:val="18"/>
        </w:rPr>
        <w:t>Oruro</w:t>
      </w:r>
      <w:r w:rsidRPr="00EB7234">
        <w:rPr>
          <w:rFonts w:ascii="Century Gothic" w:hAnsi="Century Gothic" w:cs="Calibri"/>
          <w:bCs/>
          <w:sz w:val="18"/>
          <w:szCs w:val="18"/>
        </w:rPr>
        <w:t>.</w:t>
      </w:r>
    </w:p>
    <w:p w:rsidR="009C14EA" w:rsidRDefault="009C14EA" w:rsidP="009C14EA">
      <w:pPr>
        <w:autoSpaceDE w:val="0"/>
        <w:autoSpaceDN w:val="0"/>
        <w:adjustRightInd w:val="0"/>
        <w:spacing w:after="15"/>
        <w:ind w:left="2062"/>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0C69B7" w:rsidRPr="00F76BDA" w:rsidRDefault="000C69B7" w:rsidP="00F76BDA">
      <w:pPr>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C52D96"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13 </w:t>
      </w:r>
      <w:r w:rsidR="00F76BDA">
        <w:rPr>
          <w:rFonts w:ascii="Century Gothic" w:hAnsi="Century Gothic" w:cs="Calibri"/>
          <w:bCs/>
          <w:color w:val="000000"/>
          <w:sz w:val="18"/>
          <w:szCs w:val="18"/>
        </w:rPr>
        <w:t xml:space="preserve">días </w:t>
      </w:r>
      <w:r w:rsidR="000C5620">
        <w:rPr>
          <w:rFonts w:ascii="Century Gothic" w:hAnsi="Century Gothic" w:cs="Calibri"/>
          <w:bCs/>
          <w:color w:val="000000"/>
          <w:sz w:val="18"/>
          <w:szCs w:val="18"/>
        </w:rPr>
        <w:t>a</w:t>
      </w:r>
      <w:r w:rsidR="00E82392" w:rsidRPr="006042D6">
        <w:rPr>
          <w:rFonts w:ascii="Century Gothic" w:hAnsi="Century Gothic" w:cs="Calibri"/>
          <w:bCs/>
          <w:color w:val="000000"/>
          <w:sz w:val="18"/>
          <w:szCs w:val="18"/>
        </w:rPr>
        <w:t xml:space="preserve"> partir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EF4E4E">
        <w:rPr>
          <w:rFonts w:ascii="Century Gothic" w:hAnsi="Century Gothic" w:cs="Calibri"/>
          <w:b/>
          <w:bCs/>
          <w:color w:val="5F497A"/>
          <w:sz w:val="20"/>
          <w:szCs w:val="20"/>
        </w:rPr>
        <w:t>Sueldo</w:t>
      </w:r>
      <w:r w:rsidR="00023896" w:rsidRPr="006D4A58">
        <w:rPr>
          <w:rFonts w:ascii="Century Gothic" w:hAnsi="Century Gothic" w:cs="Calibri"/>
          <w:b/>
          <w:bCs/>
          <w:color w:val="5F497A"/>
          <w:sz w:val="20"/>
          <w:szCs w:val="20"/>
        </w:rPr>
        <w:t xml:space="preserve"> </w:t>
      </w:r>
    </w:p>
    <w:p w:rsidR="006042D6" w:rsidRPr="006D4A58" w:rsidRDefault="006042D6" w:rsidP="00515BDD">
      <w:pPr>
        <w:ind w:firstLine="708"/>
        <w:jc w:val="both"/>
        <w:rPr>
          <w:rFonts w:ascii="Century Gothic" w:hAnsi="Century Gothic" w:cs="Calibri"/>
          <w:bCs/>
          <w:color w:val="000000"/>
          <w:sz w:val="14"/>
          <w:szCs w:val="18"/>
        </w:rPr>
      </w:pPr>
    </w:p>
    <w:p w:rsidR="00EF4E4E" w:rsidRDefault="00EF4E4E" w:rsidP="00EF4E4E">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6042D6" w:rsidRDefault="00023896" w:rsidP="00515BDD">
      <w:pPr>
        <w:jc w:val="both"/>
        <w:rPr>
          <w:rFonts w:ascii="Century Gothic" w:hAnsi="Century Gothic" w:cs="Calibri"/>
          <w:b/>
          <w:bCs/>
          <w:color w:val="5F497A"/>
          <w:sz w:val="18"/>
          <w:szCs w:val="18"/>
        </w:rPr>
      </w:pPr>
      <w:r w:rsidRPr="006042D6">
        <w:rPr>
          <w:rFonts w:ascii="Century Gothic" w:hAnsi="Century Gothic" w:cs="Calibri"/>
          <w:b/>
          <w:bCs/>
          <w:color w:val="5F497A"/>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9C14EA" w:rsidRPr="009C14EA">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F447F9">
        <w:rPr>
          <w:rFonts w:ascii="Century Gothic" w:hAnsi="Century Gothic" w:cs="Calibri"/>
          <w:bCs/>
          <w:color w:val="000000"/>
          <w:sz w:val="18"/>
          <w:szCs w:val="18"/>
        </w:rPr>
        <w:t>sus actividade</w:t>
      </w:r>
      <w:r w:rsidR="00627072" w:rsidRPr="00F447F9">
        <w:rPr>
          <w:rFonts w:ascii="Century Gothic" w:hAnsi="Century Gothic" w:cs="Calibri"/>
          <w:bCs/>
          <w:color w:val="000000"/>
          <w:sz w:val="18"/>
          <w:szCs w:val="18"/>
        </w:rPr>
        <w:t>s laborales, en dependencias del</w:t>
      </w:r>
      <w:r w:rsidRPr="00F447F9">
        <w:rPr>
          <w:rFonts w:ascii="Century Gothic" w:hAnsi="Century Gothic" w:cs="Calibri"/>
          <w:bCs/>
          <w:color w:val="000000"/>
          <w:sz w:val="18"/>
          <w:szCs w:val="18"/>
        </w:rPr>
        <w:t xml:space="preserve"> </w:t>
      </w:r>
      <w:r w:rsidR="000C5620" w:rsidRPr="00F447F9">
        <w:rPr>
          <w:rFonts w:ascii="Century Gothic" w:hAnsi="Century Gothic" w:cs="Calibri"/>
          <w:bCs/>
          <w:color w:val="000000"/>
          <w:sz w:val="18"/>
          <w:szCs w:val="18"/>
        </w:rPr>
        <w:t xml:space="preserve">Servicio de Registro Cívico </w:t>
      </w:r>
      <w:r w:rsidR="00F447F9" w:rsidRPr="00F447F9">
        <w:rPr>
          <w:rFonts w:ascii="Century Gothic" w:hAnsi="Century Gothic" w:cs="Calibri"/>
          <w:bCs/>
          <w:color w:val="000000"/>
          <w:sz w:val="18"/>
          <w:szCs w:val="18"/>
        </w:rPr>
        <w:t>de</w:t>
      </w:r>
      <w:r w:rsidR="00340FFB">
        <w:rPr>
          <w:rFonts w:ascii="Century Gothic" w:hAnsi="Century Gothic" w:cs="Calibri"/>
          <w:bCs/>
          <w:color w:val="000000"/>
          <w:sz w:val="18"/>
          <w:szCs w:val="18"/>
        </w:rPr>
        <w:t xml:space="preserve"> Oruro con </w:t>
      </w:r>
      <w:r w:rsidR="00EB53FA" w:rsidRPr="006042D6">
        <w:rPr>
          <w:rFonts w:ascii="Century Gothic" w:hAnsi="Century Gothic" w:cs="Calibri"/>
          <w:bCs/>
          <w:color w:val="000000"/>
          <w:sz w:val="18"/>
          <w:szCs w:val="18"/>
        </w:rPr>
        <w:t>dedi</w:t>
      </w:r>
      <w:r w:rsidR="002F73A2">
        <w:rPr>
          <w:rFonts w:ascii="Century Gothic" w:hAnsi="Century Gothic" w:cs="Calibri"/>
          <w:bCs/>
          <w:color w:val="000000"/>
          <w:sz w:val="18"/>
          <w:szCs w:val="18"/>
        </w:rPr>
        <w:t>cación exclusiva</w:t>
      </w:r>
      <w:r w:rsidR="00EB53FA" w:rsidRPr="006042D6">
        <w:rPr>
          <w:rFonts w:ascii="Century Gothic" w:hAnsi="Century Gothic" w:cs="Calibri"/>
          <w:bCs/>
          <w:color w:val="000000"/>
          <w:sz w:val="18"/>
          <w:szCs w:val="18"/>
        </w:rPr>
        <w:t xml:space="preserve"> </w:t>
      </w:r>
      <w:r w:rsidR="00C52D96">
        <w:rPr>
          <w:rFonts w:ascii="Century Gothic" w:hAnsi="Century Gothic" w:cs="Calibri"/>
          <w:bCs/>
          <w:color w:val="000000"/>
          <w:sz w:val="18"/>
          <w:szCs w:val="18"/>
        </w:rPr>
        <w:t xml:space="preserve">y disposición de viajes </w:t>
      </w:r>
      <w:r w:rsidR="00EB53FA" w:rsidRPr="006042D6">
        <w:rPr>
          <w:rFonts w:ascii="Century Gothic" w:hAnsi="Century Gothic" w:cs="Calibri"/>
          <w:bCs/>
          <w:color w:val="000000"/>
          <w:sz w:val="18"/>
          <w:szCs w:val="18"/>
        </w:rPr>
        <w:t>establecido</w:t>
      </w:r>
      <w:r w:rsidR="00C52D96">
        <w:rPr>
          <w:rFonts w:ascii="Century Gothic" w:hAnsi="Century Gothic" w:cs="Calibri"/>
          <w:bCs/>
          <w:color w:val="000000"/>
          <w:sz w:val="18"/>
          <w:szCs w:val="18"/>
        </w:rPr>
        <w:t>s</w:t>
      </w:r>
      <w:r w:rsidR="00EB53FA" w:rsidRPr="006042D6">
        <w:rPr>
          <w:rFonts w:ascii="Century Gothic" w:hAnsi="Century Gothic" w:cs="Calibri"/>
          <w:bCs/>
          <w:color w:val="000000"/>
          <w:sz w:val="18"/>
          <w:szCs w:val="18"/>
        </w:rPr>
        <w:t xml:space="preserve">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B77010" w:rsidRPr="006042D6" w:rsidRDefault="00B77010"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lastRenderedPageBreak/>
        <w:t xml:space="preserve">El consultor deberá presentar </w:t>
      </w:r>
      <w:r w:rsidR="00AD3187">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sidR="00AD3187">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sidR="00A83264">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627072" w:rsidRPr="006042D6" w:rsidRDefault="00627072"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El plazo para la presentación del informe final es de (5) ci</w:t>
      </w:r>
      <w:r w:rsidR="000B38A9">
        <w:rPr>
          <w:rFonts w:ascii="Century Gothic" w:eastAsia="Calibri" w:hAnsi="Century Gothic" w:cs="Arial"/>
          <w:sz w:val="18"/>
          <w:szCs w:val="18"/>
          <w:lang w:eastAsia="en-US"/>
        </w:rPr>
        <w:t xml:space="preserve">nco días hábiles posteriores a la conclusión </w:t>
      </w:r>
      <w:r w:rsidRPr="006042D6">
        <w:rPr>
          <w:rFonts w:ascii="Century Gothic" w:eastAsia="Calibri" w:hAnsi="Century Gothic" w:cs="Arial"/>
          <w:sz w:val="18"/>
          <w:szCs w:val="18"/>
          <w:lang w:eastAsia="en-US"/>
        </w:rPr>
        <w:t>de la prestación del servicio de consultoría.</w:t>
      </w:r>
    </w:p>
    <w:p w:rsidR="009C14EA" w:rsidRPr="007A5868" w:rsidRDefault="009C14EA" w:rsidP="009C14EA">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Se requerirá </w:t>
      </w:r>
      <w:r>
        <w:rPr>
          <w:rFonts w:ascii="Century Gothic" w:eastAsia="Calibri" w:hAnsi="Century Gothic" w:cs="Arial"/>
          <w:sz w:val="18"/>
          <w:szCs w:val="18"/>
          <w:lang w:eastAsia="en-US"/>
        </w:rPr>
        <w:t xml:space="preserve">conformidad </w:t>
      </w:r>
      <w:r w:rsidRPr="006042D6">
        <w:rPr>
          <w:rFonts w:ascii="Century Gothic" w:eastAsia="Calibri" w:hAnsi="Century Gothic" w:cs="Arial"/>
          <w:sz w:val="18"/>
          <w:szCs w:val="18"/>
          <w:lang w:eastAsia="en-US"/>
        </w:rPr>
        <w:t xml:space="preserve">de la Contraparte </w:t>
      </w:r>
      <w:r>
        <w:rPr>
          <w:rFonts w:ascii="Century Gothic" w:eastAsia="Calibri" w:hAnsi="Century Gothic" w:cs="Arial"/>
          <w:sz w:val="18"/>
          <w:szCs w:val="18"/>
          <w:lang w:eastAsia="en-US"/>
        </w:rPr>
        <w:t xml:space="preserve">o Responsable de recepción,  </w:t>
      </w:r>
      <w:r w:rsidRPr="006042D6">
        <w:rPr>
          <w:rFonts w:ascii="Century Gothic" w:eastAsia="Calibri" w:hAnsi="Century Gothic" w:cs="Arial"/>
          <w:sz w:val="18"/>
          <w:szCs w:val="18"/>
          <w:lang w:eastAsia="en-US"/>
        </w:rPr>
        <w:t>para efectuar el pago.</w:t>
      </w: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9C14EA">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9C14EA" w:rsidRDefault="009C14EA" w:rsidP="009C14EA">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EA51D7" w:rsidRPr="006042D6" w:rsidRDefault="009C14EA" w:rsidP="009C14EA">
      <w:pPr>
        <w:pStyle w:val="Prrafodelista"/>
        <w:autoSpaceDE w:val="0"/>
        <w:autoSpaceDN w:val="0"/>
        <w:adjustRightInd w:val="0"/>
        <w:ind w:left="1428"/>
        <w:jc w:val="both"/>
        <w:rPr>
          <w:rFonts w:ascii="Century Gothic" w:eastAsia="Calibri" w:hAnsi="Century Gothic" w:cs="Arial"/>
          <w:color w:val="000000"/>
          <w:sz w:val="18"/>
          <w:szCs w:val="18"/>
          <w:lang w:eastAsia="en-US"/>
        </w:rPr>
      </w:pPr>
      <w:r>
        <w:rPr>
          <w:rFonts w:ascii="Century Gothic" w:eastAsia="Calibri" w:hAnsi="Century Gothic" w:cs="Arial"/>
          <w:color w:val="000000"/>
          <w:sz w:val="18"/>
          <w:szCs w:val="18"/>
          <w:lang w:eastAsia="en-US"/>
        </w:rPr>
        <w:t xml:space="preserve">El </w:t>
      </w:r>
      <w:r w:rsidR="002F30ED" w:rsidRPr="006042D6">
        <w:rPr>
          <w:rFonts w:ascii="Century Gothic" w:eastAsia="Calibri" w:hAnsi="Century Gothic" w:cs="Arial"/>
          <w:color w:val="000000"/>
          <w:sz w:val="18"/>
          <w:szCs w:val="18"/>
          <w:lang w:eastAsia="en-US"/>
        </w:rPr>
        <w:t xml:space="preserve"> </w:t>
      </w:r>
      <w:r w:rsidR="002F73A2">
        <w:rPr>
          <w:rFonts w:ascii="Century Gothic" w:eastAsia="Calibri" w:hAnsi="Century Gothic" w:cs="Arial"/>
          <w:color w:val="000000"/>
          <w:sz w:val="18"/>
          <w:szCs w:val="18"/>
          <w:lang w:eastAsia="en-US"/>
        </w:rPr>
        <w:t>Servicio de Registro Cívico</w:t>
      </w:r>
      <w:r w:rsidR="00EA51D7"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EA51D7"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sidR="005B7777">
        <w:rPr>
          <w:rFonts w:ascii="Century Gothic" w:eastAsia="Calibri" w:hAnsi="Century Gothic" w:cs="Arial"/>
          <w:color w:val="000000"/>
          <w:sz w:val="18"/>
          <w:szCs w:val="18"/>
          <w:lang w:eastAsia="en-US"/>
        </w:rPr>
        <w:t>.</w:t>
      </w:r>
    </w:p>
    <w:p w:rsidR="009C14EA" w:rsidRPr="006042D6" w:rsidRDefault="009C14EA" w:rsidP="009C14EA">
      <w:pPr>
        <w:pStyle w:val="Prrafodelista"/>
        <w:autoSpaceDE w:val="0"/>
        <w:autoSpaceDN w:val="0"/>
        <w:adjustRightInd w:val="0"/>
        <w:ind w:left="2148"/>
        <w:jc w:val="both"/>
        <w:rPr>
          <w:rFonts w:ascii="Century Gothic" w:eastAsia="Calibri" w:hAnsi="Century Gothic" w:cs="Arial"/>
          <w:color w:val="000000"/>
          <w:sz w:val="18"/>
          <w:szCs w:val="18"/>
          <w:lang w:eastAsia="en-US"/>
        </w:rPr>
      </w:pPr>
    </w:p>
    <w:p w:rsidR="009C14EA" w:rsidRDefault="009C14EA" w:rsidP="009C14EA">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w:t>
      </w:r>
      <w:r w:rsidRPr="006042D6">
        <w:rPr>
          <w:rFonts w:ascii="Century Gothic" w:eastAsia="Calibri" w:hAnsi="Century Gothic" w:cs="Arial"/>
          <w:color w:val="000000"/>
          <w:sz w:val="18"/>
          <w:szCs w:val="18"/>
          <w:lang w:eastAsia="en-US"/>
        </w:rPr>
        <w:t xml:space="preserve"> 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w:t>
      </w:r>
      <w:r>
        <w:rPr>
          <w:rFonts w:ascii="Century Gothic" w:eastAsia="Calibri" w:hAnsi="Century Gothic" w:cs="Arial"/>
          <w:color w:val="000000"/>
          <w:sz w:val="18"/>
          <w:szCs w:val="18"/>
          <w:lang w:eastAsia="en-US"/>
        </w:rPr>
        <w:t xml:space="preserve"> </w:t>
      </w:r>
      <w:r w:rsidRPr="006042D6">
        <w:rPr>
          <w:rFonts w:ascii="Century Gothic" w:eastAsia="Calibri" w:hAnsi="Century Gothic" w:cs="Arial"/>
          <w:color w:val="000000"/>
          <w:sz w:val="18"/>
          <w:szCs w:val="18"/>
          <w:lang w:eastAsia="en-US"/>
        </w:rPr>
        <w:t>l</w:t>
      </w:r>
      <w:r>
        <w:rPr>
          <w:rFonts w:ascii="Century Gothic" w:eastAsia="Calibri" w:hAnsi="Century Gothic" w:cs="Arial"/>
          <w:color w:val="000000"/>
          <w:sz w:val="18"/>
          <w:szCs w:val="18"/>
          <w:lang w:eastAsia="en-US"/>
        </w:rPr>
        <w:t>a prestación del</w:t>
      </w:r>
      <w:r w:rsidRPr="006042D6">
        <w:rPr>
          <w:rFonts w:ascii="Century Gothic" w:eastAsia="Calibri" w:hAnsi="Century Gothic" w:cs="Arial"/>
          <w:color w:val="000000"/>
          <w:sz w:val="18"/>
          <w:szCs w:val="18"/>
          <w:lang w:eastAsia="en-US"/>
        </w:rPr>
        <w:t xml:space="preserve"> servicio.</w:t>
      </w:r>
    </w:p>
    <w:p w:rsidR="00FD794F" w:rsidRPr="006042D6" w:rsidRDefault="00FD794F" w:rsidP="00FD794F">
      <w:pPr>
        <w:autoSpaceDE w:val="0"/>
        <w:autoSpaceDN w:val="0"/>
        <w:adjustRightInd w:val="0"/>
        <w:ind w:left="1068"/>
        <w:jc w:val="both"/>
        <w:rPr>
          <w:rFonts w:ascii="Century Gothic" w:eastAsia="Calibri" w:hAnsi="Century Gothic" w:cs="Arial"/>
          <w:sz w:val="18"/>
          <w:szCs w:val="18"/>
          <w:lang w:eastAsia="en-US"/>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sidR="00252177">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Pr="006042D6" w:rsidRDefault="00F447F9"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A7511A">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bookmarkStart w:id="0" w:name="_GoBack"/>
      <w:bookmarkEnd w:id="0"/>
    </w:p>
    <w:sectPr w:rsidR="005A3944" w:rsidRPr="006042D6" w:rsidSect="00A36E6E">
      <w:headerReference w:type="default" r:id="rId8"/>
      <w:footerReference w:type="default" r:id="rId9"/>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01" w:rsidRDefault="00360401" w:rsidP="0043787D">
      <w:r>
        <w:separator/>
      </w:r>
    </w:p>
  </w:endnote>
  <w:endnote w:type="continuationSeparator" w:id="0">
    <w:p w:rsidR="00360401" w:rsidRDefault="00360401"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F3" w:rsidRDefault="00294CF3">
    <w:pPr>
      <w:pStyle w:val="Piedepgina"/>
      <w:jc w:val="right"/>
    </w:pPr>
    <w:r>
      <w:fldChar w:fldCharType="begin"/>
    </w:r>
    <w:r>
      <w:instrText xml:space="preserve"> PAGE   \* MERGEFORMAT </w:instrText>
    </w:r>
    <w:r>
      <w:fldChar w:fldCharType="separate"/>
    </w:r>
    <w:r w:rsidR="00834044">
      <w:rPr>
        <w:noProof/>
      </w:rPr>
      <w:t>3</w:t>
    </w:r>
    <w:r>
      <w:fldChar w:fldCharType="end"/>
    </w:r>
  </w:p>
  <w:p w:rsidR="00294CF3" w:rsidRDefault="00294C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01" w:rsidRDefault="00360401" w:rsidP="0043787D">
      <w:r>
        <w:separator/>
      </w:r>
    </w:p>
  </w:footnote>
  <w:footnote w:type="continuationSeparator" w:id="0">
    <w:p w:rsidR="00360401" w:rsidRDefault="00360401"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0C669E" w:rsidP="000C669E">
    <w:pPr>
      <w:pStyle w:val="Encabezado"/>
      <w:jc w:val="center"/>
    </w:pPr>
    <w:r>
      <w:rPr>
        <w:noProof/>
        <w:lang w:val="es-BO" w:eastAsia="es-BO"/>
      </w:rPr>
      <w:drawing>
        <wp:inline distT="0" distB="0" distL="0" distR="0" wp14:anchorId="1DA279DC" wp14:editId="7D29A08B">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0C669E" w:rsidRDefault="000C669E" w:rsidP="000C669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1A9740E2"/>
    <w:multiLevelType w:val="hybridMultilevel"/>
    <w:tmpl w:val="C7745B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C493670"/>
    <w:multiLevelType w:val="hybridMultilevel"/>
    <w:tmpl w:val="49D2797A"/>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E522D44"/>
    <w:multiLevelType w:val="hybridMultilevel"/>
    <w:tmpl w:val="65362C58"/>
    <w:lvl w:ilvl="0" w:tplc="98E404E8">
      <w:start w:val="1"/>
      <w:numFmt w:val="bullet"/>
      <w:lvlText w:val="-"/>
      <w:lvlJc w:val="left"/>
      <w:pPr>
        <w:ind w:left="2062"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8"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21"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2"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4"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6"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9"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4"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5"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6"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7"/>
  </w:num>
  <w:num w:numId="3">
    <w:abstractNumId w:val="20"/>
  </w:num>
  <w:num w:numId="4">
    <w:abstractNumId w:val="32"/>
  </w:num>
  <w:num w:numId="5">
    <w:abstractNumId w:val="0"/>
  </w:num>
  <w:num w:numId="6">
    <w:abstractNumId w:val="35"/>
  </w:num>
  <w:num w:numId="7">
    <w:abstractNumId w:val="7"/>
  </w:num>
  <w:num w:numId="8">
    <w:abstractNumId w:val="1"/>
  </w:num>
  <w:num w:numId="9">
    <w:abstractNumId w:val="16"/>
  </w:num>
  <w:num w:numId="10">
    <w:abstractNumId w:val="24"/>
  </w:num>
  <w:num w:numId="11">
    <w:abstractNumId w:val="9"/>
  </w:num>
  <w:num w:numId="12">
    <w:abstractNumId w:val="36"/>
  </w:num>
  <w:num w:numId="13">
    <w:abstractNumId w:val="18"/>
  </w:num>
  <w:num w:numId="14">
    <w:abstractNumId w:val="8"/>
  </w:num>
  <w:num w:numId="15">
    <w:abstractNumId w:val="26"/>
  </w:num>
  <w:num w:numId="16">
    <w:abstractNumId w:val="6"/>
  </w:num>
  <w:num w:numId="17">
    <w:abstractNumId w:val="19"/>
  </w:num>
  <w:num w:numId="18">
    <w:abstractNumId w:val="14"/>
  </w:num>
  <w:num w:numId="19">
    <w:abstractNumId w:val="33"/>
  </w:num>
  <w:num w:numId="20">
    <w:abstractNumId w:val="28"/>
  </w:num>
  <w:num w:numId="21">
    <w:abstractNumId w:val="23"/>
  </w:num>
  <w:num w:numId="22">
    <w:abstractNumId w:val="4"/>
  </w:num>
  <w:num w:numId="23">
    <w:abstractNumId w:val="29"/>
  </w:num>
  <w:num w:numId="24">
    <w:abstractNumId w:val="27"/>
  </w:num>
  <w:num w:numId="25">
    <w:abstractNumId w:val="15"/>
  </w:num>
  <w:num w:numId="26">
    <w:abstractNumId w:val="34"/>
  </w:num>
  <w:num w:numId="27">
    <w:abstractNumId w:val="11"/>
  </w:num>
  <w:num w:numId="28">
    <w:abstractNumId w:val="5"/>
  </w:num>
  <w:num w:numId="29">
    <w:abstractNumId w:val="21"/>
  </w:num>
  <w:num w:numId="30">
    <w:abstractNumId w:val="25"/>
  </w:num>
  <w:num w:numId="31">
    <w:abstractNumId w:val="12"/>
  </w:num>
  <w:num w:numId="32">
    <w:abstractNumId w:val="3"/>
  </w:num>
  <w:num w:numId="33">
    <w:abstractNumId w:val="31"/>
  </w:num>
  <w:num w:numId="34">
    <w:abstractNumId w:val="22"/>
  </w:num>
  <w:num w:numId="35">
    <w:abstractNumId w:val="30"/>
  </w:num>
  <w:num w:numId="36">
    <w:abstractNumId w:val="13"/>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068E4"/>
    <w:rsid w:val="00022196"/>
    <w:rsid w:val="00023896"/>
    <w:rsid w:val="00026E75"/>
    <w:rsid w:val="000337FB"/>
    <w:rsid w:val="0003537F"/>
    <w:rsid w:val="000460FB"/>
    <w:rsid w:val="000512B7"/>
    <w:rsid w:val="0006667F"/>
    <w:rsid w:val="000739C1"/>
    <w:rsid w:val="000757E5"/>
    <w:rsid w:val="00082A79"/>
    <w:rsid w:val="000869EA"/>
    <w:rsid w:val="000B38A9"/>
    <w:rsid w:val="000C1447"/>
    <w:rsid w:val="000C5620"/>
    <w:rsid w:val="000C669E"/>
    <w:rsid w:val="000C69B7"/>
    <w:rsid w:val="000D2FD9"/>
    <w:rsid w:val="000E11D5"/>
    <w:rsid w:val="000E2D12"/>
    <w:rsid w:val="000E5F28"/>
    <w:rsid w:val="000F3329"/>
    <w:rsid w:val="00103F14"/>
    <w:rsid w:val="00107170"/>
    <w:rsid w:val="00107C49"/>
    <w:rsid w:val="001261CB"/>
    <w:rsid w:val="00151FAE"/>
    <w:rsid w:val="001629F8"/>
    <w:rsid w:val="00170141"/>
    <w:rsid w:val="00176033"/>
    <w:rsid w:val="00176C48"/>
    <w:rsid w:val="00196CB1"/>
    <w:rsid w:val="00197D73"/>
    <w:rsid w:val="001A5C18"/>
    <w:rsid w:val="001A6109"/>
    <w:rsid w:val="001C7BF1"/>
    <w:rsid w:val="001D3E0C"/>
    <w:rsid w:val="001E2265"/>
    <w:rsid w:val="001E790A"/>
    <w:rsid w:val="001F3409"/>
    <w:rsid w:val="001F7021"/>
    <w:rsid w:val="00210FE4"/>
    <w:rsid w:val="00220841"/>
    <w:rsid w:val="00222E34"/>
    <w:rsid w:val="002356E6"/>
    <w:rsid w:val="002429B6"/>
    <w:rsid w:val="00252177"/>
    <w:rsid w:val="00254418"/>
    <w:rsid w:val="00267832"/>
    <w:rsid w:val="00274F7E"/>
    <w:rsid w:val="0028585C"/>
    <w:rsid w:val="00292E3A"/>
    <w:rsid w:val="00294CF3"/>
    <w:rsid w:val="00296827"/>
    <w:rsid w:val="002A34A7"/>
    <w:rsid w:val="002C21ED"/>
    <w:rsid w:val="002C2575"/>
    <w:rsid w:val="002C29C4"/>
    <w:rsid w:val="002C50C1"/>
    <w:rsid w:val="002C5108"/>
    <w:rsid w:val="002C740F"/>
    <w:rsid w:val="002D4467"/>
    <w:rsid w:val="002D7CA7"/>
    <w:rsid w:val="002F2C5C"/>
    <w:rsid w:val="002F30ED"/>
    <w:rsid w:val="002F39AA"/>
    <w:rsid w:val="002F449C"/>
    <w:rsid w:val="002F636E"/>
    <w:rsid w:val="002F73A2"/>
    <w:rsid w:val="00300699"/>
    <w:rsid w:val="00300C82"/>
    <w:rsid w:val="00301837"/>
    <w:rsid w:val="00337CEA"/>
    <w:rsid w:val="00340FFB"/>
    <w:rsid w:val="00346296"/>
    <w:rsid w:val="00360401"/>
    <w:rsid w:val="00375B6B"/>
    <w:rsid w:val="00376E5F"/>
    <w:rsid w:val="0038578A"/>
    <w:rsid w:val="00397A72"/>
    <w:rsid w:val="003A0F57"/>
    <w:rsid w:val="003E2B48"/>
    <w:rsid w:val="003E4B25"/>
    <w:rsid w:val="003E693E"/>
    <w:rsid w:val="00404F2A"/>
    <w:rsid w:val="00417EB3"/>
    <w:rsid w:val="0043787D"/>
    <w:rsid w:val="00462B3F"/>
    <w:rsid w:val="004758E6"/>
    <w:rsid w:val="004B7F65"/>
    <w:rsid w:val="004C4303"/>
    <w:rsid w:val="004E2C8D"/>
    <w:rsid w:val="004F3275"/>
    <w:rsid w:val="00515BDD"/>
    <w:rsid w:val="005317D3"/>
    <w:rsid w:val="00537AB5"/>
    <w:rsid w:val="00552F97"/>
    <w:rsid w:val="0056431E"/>
    <w:rsid w:val="005669DB"/>
    <w:rsid w:val="005763D9"/>
    <w:rsid w:val="00584367"/>
    <w:rsid w:val="00594219"/>
    <w:rsid w:val="005A3944"/>
    <w:rsid w:val="005A6173"/>
    <w:rsid w:val="005B25F4"/>
    <w:rsid w:val="005B28D1"/>
    <w:rsid w:val="005B4F7F"/>
    <w:rsid w:val="005B7777"/>
    <w:rsid w:val="005E1E1E"/>
    <w:rsid w:val="005E2F5E"/>
    <w:rsid w:val="006042D6"/>
    <w:rsid w:val="00622691"/>
    <w:rsid w:val="006249D8"/>
    <w:rsid w:val="00624DC5"/>
    <w:rsid w:val="00627072"/>
    <w:rsid w:val="00634452"/>
    <w:rsid w:val="00635A18"/>
    <w:rsid w:val="00643BD2"/>
    <w:rsid w:val="00656AD2"/>
    <w:rsid w:val="006666C8"/>
    <w:rsid w:val="006837DC"/>
    <w:rsid w:val="006A46A1"/>
    <w:rsid w:val="006D4A58"/>
    <w:rsid w:val="00703EA0"/>
    <w:rsid w:val="007147AB"/>
    <w:rsid w:val="00717B95"/>
    <w:rsid w:val="0072737E"/>
    <w:rsid w:val="00736CF1"/>
    <w:rsid w:val="007402F0"/>
    <w:rsid w:val="00743565"/>
    <w:rsid w:val="00744C0D"/>
    <w:rsid w:val="0074742E"/>
    <w:rsid w:val="007564B9"/>
    <w:rsid w:val="00763D65"/>
    <w:rsid w:val="0078541E"/>
    <w:rsid w:val="007A299F"/>
    <w:rsid w:val="007B54DF"/>
    <w:rsid w:val="007E6C04"/>
    <w:rsid w:val="007E7679"/>
    <w:rsid w:val="008018B7"/>
    <w:rsid w:val="0080196A"/>
    <w:rsid w:val="00810DE0"/>
    <w:rsid w:val="00810F1C"/>
    <w:rsid w:val="0082256B"/>
    <w:rsid w:val="0083047E"/>
    <w:rsid w:val="008334AE"/>
    <w:rsid w:val="00833615"/>
    <w:rsid w:val="00834044"/>
    <w:rsid w:val="008342ED"/>
    <w:rsid w:val="00836BCE"/>
    <w:rsid w:val="00863FF8"/>
    <w:rsid w:val="00865471"/>
    <w:rsid w:val="008810B7"/>
    <w:rsid w:val="0088727F"/>
    <w:rsid w:val="00887C84"/>
    <w:rsid w:val="008A5C63"/>
    <w:rsid w:val="008B4DA1"/>
    <w:rsid w:val="008C0FD1"/>
    <w:rsid w:val="009076CE"/>
    <w:rsid w:val="009079DC"/>
    <w:rsid w:val="00913BCC"/>
    <w:rsid w:val="0091411F"/>
    <w:rsid w:val="009238D4"/>
    <w:rsid w:val="0093411F"/>
    <w:rsid w:val="009508C4"/>
    <w:rsid w:val="009657D9"/>
    <w:rsid w:val="00971FFF"/>
    <w:rsid w:val="00974209"/>
    <w:rsid w:val="00997FC2"/>
    <w:rsid w:val="009A0986"/>
    <w:rsid w:val="009A1225"/>
    <w:rsid w:val="009C14EA"/>
    <w:rsid w:val="009C6922"/>
    <w:rsid w:val="009E2705"/>
    <w:rsid w:val="009E3632"/>
    <w:rsid w:val="009E56BA"/>
    <w:rsid w:val="009F7705"/>
    <w:rsid w:val="00A021D0"/>
    <w:rsid w:val="00A05203"/>
    <w:rsid w:val="00A23406"/>
    <w:rsid w:val="00A36E6E"/>
    <w:rsid w:val="00A37126"/>
    <w:rsid w:val="00A511F7"/>
    <w:rsid w:val="00A54B87"/>
    <w:rsid w:val="00A6214D"/>
    <w:rsid w:val="00A64B31"/>
    <w:rsid w:val="00A7511A"/>
    <w:rsid w:val="00A77A5C"/>
    <w:rsid w:val="00A828F7"/>
    <w:rsid w:val="00A83264"/>
    <w:rsid w:val="00AA6B17"/>
    <w:rsid w:val="00AD17A7"/>
    <w:rsid w:val="00AD3187"/>
    <w:rsid w:val="00AE5654"/>
    <w:rsid w:val="00B0167E"/>
    <w:rsid w:val="00B17A0D"/>
    <w:rsid w:val="00B57218"/>
    <w:rsid w:val="00B61167"/>
    <w:rsid w:val="00B737C7"/>
    <w:rsid w:val="00B76231"/>
    <w:rsid w:val="00B77010"/>
    <w:rsid w:val="00B81986"/>
    <w:rsid w:val="00B84BB6"/>
    <w:rsid w:val="00B9522B"/>
    <w:rsid w:val="00BB331B"/>
    <w:rsid w:val="00BC2A6C"/>
    <w:rsid w:val="00BD1A12"/>
    <w:rsid w:val="00BF0E2E"/>
    <w:rsid w:val="00BF323A"/>
    <w:rsid w:val="00C01ADB"/>
    <w:rsid w:val="00C04426"/>
    <w:rsid w:val="00C05FC6"/>
    <w:rsid w:val="00C15F6E"/>
    <w:rsid w:val="00C33DA1"/>
    <w:rsid w:val="00C45D57"/>
    <w:rsid w:val="00C45EED"/>
    <w:rsid w:val="00C47794"/>
    <w:rsid w:val="00C52D96"/>
    <w:rsid w:val="00C609FA"/>
    <w:rsid w:val="00C6401C"/>
    <w:rsid w:val="00C650B8"/>
    <w:rsid w:val="00C80466"/>
    <w:rsid w:val="00C82AE8"/>
    <w:rsid w:val="00CA527A"/>
    <w:rsid w:val="00CC5FF0"/>
    <w:rsid w:val="00CC7B75"/>
    <w:rsid w:val="00CD606A"/>
    <w:rsid w:val="00CD6848"/>
    <w:rsid w:val="00D028ED"/>
    <w:rsid w:val="00D11C80"/>
    <w:rsid w:val="00D127C6"/>
    <w:rsid w:val="00D12E38"/>
    <w:rsid w:val="00D131A2"/>
    <w:rsid w:val="00D2062C"/>
    <w:rsid w:val="00D244CE"/>
    <w:rsid w:val="00D25653"/>
    <w:rsid w:val="00D6012E"/>
    <w:rsid w:val="00D6172F"/>
    <w:rsid w:val="00D70674"/>
    <w:rsid w:val="00D70A61"/>
    <w:rsid w:val="00DB6244"/>
    <w:rsid w:val="00DC60A4"/>
    <w:rsid w:val="00DC7112"/>
    <w:rsid w:val="00DD2277"/>
    <w:rsid w:val="00DD7A23"/>
    <w:rsid w:val="00DE0265"/>
    <w:rsid w:val="00DE22C5"/>
    <w:rsid w:val="00DE318A"/>
    <w:rsid w:val="00E10C01"/>
    <w:rsid w:val="00E10D6F"/>
    <w:rsid w:val="00E351CF"/>
    <w:rsid w:val="00E42B93"/>
    <w:rsid w:val="00E467A4"/>
    <w:rsid w:val="00E526FF"/>
    <w:rsid w:val="00E7501B"/>
    <w:rsid w:val="00E82392"/>
    <w:rsid w:val="00E96E37"/>
    <w:rsid w:val="00EA51D7"/>
    <w:rsid w:val="00EB17F4"/>
    <w:rsid w:val="00EB2220"/>
    <w:rsid w:val="00EB53FA"/>
    <w:rsid w:val="00EB595B"/>
    <w:rsid w:val="00EC2F2F"/>
    <w:rsid w:val="00EE6B9D"/>
    <w:rsid w:val="00EF30C9"/>
    <w:rsid w:val="00EF4E4E"/>
    <w:rsid w:val="00F0226F"/>
    <w:rsid w:val="00F02826"/>
    <w:rsid w:val="00F11361"/>
    <w:rsid w:val="00F125A9"/>
    <w:rsid w:val="00F243E4"/>
    <w:rsid w:val="00F37685"/>
    <w:rsid w:val="00F41F4D"/>
    <w:rsid w:val="00F443CC"/>
    <w:rsid w:val="00F447F9"/>
    <w:rsid w:val="00F51E39"/>
    <w:rsid w:val="00F526F0"/>
    <w:rsid w:val="00F65591"/>
    <w:rsid w:val="00F76BDA"/>
    <w:rsid w:val="00F91435"/>
    <w:rsid w:val="00F92650"/>
    <w:rsid w:val="00F93CB2"/>
    <w:rsid w:val="00FA5B44"/>
    <w:rsid w:val="00FB132C"/>
    <w:rsid w:val="00FC058A"/>
    <w:rsid w:val="00FD1B1F"/>
    <w:rsid w:val="00FD794F"/>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6A78F-1B06-48FA-934D-135359B5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589855079">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085423130">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667C-7249-4875-913F-6AD3E9C9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925</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14</cp:revision>
  <cp:lastPrinted>2014-05-26T13:53:00Z</cp:lastPrinted>
  <dcterms:created xsi:type="dcterms:W3CDTF">2020-01-07T16:24:00Z</dcterms:created>
  <dcterms:modified xsi:type="dcterms:W3CDTF">2020-01-07T23:56:00Z</dcterms:modified>
  <cp:category>Modelos</cp:category>
  <cp:contentStatus>Vidente 2011</cp:contentStatus>
</cp:coreProperties>
</file>