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fecx75ju6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78kdddd3h4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III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7i0sayxtqr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4sjozfvzkz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V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ltxopo96ttz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hrbgle6i83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Gregorio De La Rosa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qkqa2mb2c1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m8jpwhe9j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6hueha65h0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de consultar el texto básico de la asignatura y otros documentos sugeridos por su facilitador, en el contenido de la Unidad Anterior, realiza las actividades sugeridas: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 un método llamado Resultado, el cual debe determinar si el participante aprobó o reprobó, el método debe devolver un string y la visibilidad public. Es necesario que este método debe recibir como parámetro la nota (Utilizar el condicionador if).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62713" cy="491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60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Elabora un método que permita calcular la calificación final de un participante de la uapa, debes tomar en cuenta los siguientes parámetros.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Ex:</w:t>
      </w:r>
      <w:r w:rsidDel="00000000" w:rsidR="00000000" w:rsidRPr="00000000">
        <w:rPr>
          <w:rtl w:val="0"/>
        </w:rPr>
        <w:t xml:space="preserve"> examen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Pe: </w:t>
      </w:r>
      <w:r w:rsidDel="00000000" w:rsidR="00000000" w:rsidRPr="00000000">
        <w:rPr>
          <w:rtl w:val="0"/>
        </w:rPr>
        <w:t xml:space="preserve">producción escrita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Av</w:t>
      </w:r>
      <w:r w:rsidDel="00000000" w:rsidR="00000000" w:rsidRPr="00000000">
        <w:rPr>
          <w:rtl w:val="0"/>
        </w:rPr>
        <w:t xml:space="preserve">: Actitudes y valores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; Actividades prácticas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</w:t>
      </w:r>
      <w:r w:rsidDel="00000000" w:rsidR="00000000" w:rsidRPr="00000000">
        <w:rPr>
          <w:rtl w:val="0"/>
        </w:rPr>
        <w:t xml:space="preserve">: Producción Oral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Observación: </w:t>
      </w:r>
      <w:r w:rsidDel="00000000" w:rsidR="00000000" w:rsidRPr="00000000">
        <w:rPr>
          <w:rtl w:val="0"/>
        </w:rPr>
        <w:t xml:space="preserve">La suma de todos estos parámetros dará como resultado la calificación final.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86463" cy="4514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Realiza una clase llamada claBeneficios, la misma debe contener dos métodos: GananciaUnitaria y GananciaGeneral.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idea es que ambos métodos determinen recibiendo parámetros de precio y costo; las ganancias unitarios y general de un producto.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10338" cy="701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55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