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ABIERTA PARA ADULTOS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(UAPA)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5193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hfecx75ju6i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78kdddd3h41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Programación III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h7i0sayxtqr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4sjozfvzkzf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Tarea VI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ltxopo96ttz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Facilitador: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ohrbgle6i83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Gregorio De La Rosa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qkqa2mb2c1l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Participante: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5m8jpwhe9jg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Jochimin Contreras Garcia.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6hueha65h0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Mat. 2019-05041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 de consultar el texto básico de la asignatura y otros documentos sugeridos por su facilitador, en el contenido de la Unidades anteriores, realiza las actividades sugeridas: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Crear procedimiento almacenados para consulta de datos.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Crear procedimientos almacenados para autenticación de usuarios.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la tabla: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6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Insertar los usuarios en la tabla usuarios: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03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un procedimiento almacenado para consulta: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567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Ejecución de la consulta del procedimiento almacenado: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05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de la consulta con el procedimiento almacenado: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7097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Ejecución del procedimiento almacenado con un usuario existente: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70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de la consulta con el procedimiento almacenado: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3828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