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3B" w:rsidRPr="00075F05" w:rsidRDefault="00526253" w:rsidP="00075F05">
      <w:pPr>
        <w:pStyle w:val="Nagwek1"/>
        <w:rPr>
          <w:rFonts w:asciiTheme="minorHAnsi" w:hAnsiTheme="minorHAnsi" w:cstheme="minorHAnsi"/>
          <w:sz w:val="32"/>
        </w:rPr>
      </w:pPr>
      <w:r w:rsidRPr="00F80E03">
        <w:rPr>
          <w:rFonts w:asciiTheme="minorHAnsi" w:hAnsiTheme="minorHAnsi" w:cstheme="minorHAnsi"/>
          <w:sz w:val="32"/>
        </w:rPr>
        <w:t>Przykładowe zapisy z Regulaminu RODBUK:</w:t>
      </w:r>
    </w:p>
    <w:p w:rsidR="00526253" w:rsidRDefault="00526253">
      <w:pPr>
        <w:rPr>
          <w:rStyle w:val="c1"/>
        </w:rPr>
      </w:pPr>
      <w:r>
        <w:rPr>
          <w:rStyle w:val="c1"/>
        </w:rPr>
        <w:t xml:space="preserve">Osobą uprawnioną do założenia Konta Deponującego w Repozytorium jest </w:t>
      </w:r>
      <w:r w:rsidRPr="00526253">
        <w:rPr>
          <w:rStyle w:val="c1"/>
          <w:b/>
        </w:rPr>
        <w:t xml:space="preserve">pracownik naukowy, doktorant lub student </w:t>
      </w:r>
      <w:r>
        <w:rPr>
          <w:rStyle w:val="c1"/>
        </w:rPr>
        <w:t xml:space="preserve">afiliowany przez </w:t>
      </w:r>
      <w:proofErr w:type="spellStart"/>
      <w:r>
        <w:rPr>
          <w:rStyle w:val="c1"/>
        </w:rPr>
        <w:t>Współadministratora</w:t>
      </w:r>
      <w:proofErr w:type="spellEnd"/>
      <w:r>
        <w:rPr>
          <w:rStyle w:val="c1"/>
        </w:rPr>
        <w:t>.</w:t>
      </w:r>
    </w:p>
    <w:p w:rsidR="00526253" w:rsidRDefault="00526253">
      <w:pPr>
        <w:rPr>
          <w:rStyle w:val="c1"/>
        </w:rPr>
      </w:pPr>
      <w:r w:rsidRPr="00526253">
        <w:rPr>
          <w:rStyle w:val="c1"/>
          <w:b/>
        </w:rPr>
        <w:t xml:space="preserve">Deponujący ponosi pełną odpowiedzialność </w:t>
      </w:r>
      <w:r>
        <w:rPr>
          <w:rStyle w:val="c1"/>
        </w:rPr>
        <w:t xml:space="preserve">za zamieszczone Dane Badawcze oraz za ewentualne naruszenie praw autorskich i majątkowych osób trzecich oraz praw pokrewnych. W przypadku poniesienia przez </w:t>
      </w:r>
      <w:proofErr w:type="spellStart"/>
      <w:r>
        <w:rPr>
          <w:rStyle w:val="c1"/>
        </w:rPr>
        <w:t>Współadministratora</w:t>
      </w:r>
      <w:proofErr w:type="spellEnd"/>
      <w:r>
        <w:rPr>
          <w:rStyle w:val="c1"/>
        </w:rPr>
        <w:t xml:space="preserve"> jakichkolwiek kosztów wynikających z działań Deponującego, Deponujący zobowiązuje się pokryć wskazane koszty w całości (w tym z tytułu odszkodowania lub zadośćuczynienia, koszty postępowania sądowego oraz egzekucyjnego).</w:t>
      </w:r>
    </w:p>
    <w:p w:rsidR="00526253" w:rsidRDefault="00526253">
      <w:pPr>
        <w:rPr>
          <w:rStyle w:val="c1"/>
        </w:rPr>
      </w:pPr>
      <w:r w:rsidRPr="00526253">
        <w:rPr>
          <w:rStyle w:val="c1"/>
          <w:b/>
        </w:rPr>
        <w:t xml:space="preserve">W przypadku projektów </w:t>
      </w:r>
      <w:proofErr w:type="spellStart"/>
      <w:r w:rsidRPr="00526253">
        <w:rPr>
          <w:rStyle w:val="c1"/>
          <w:b/>
        </w:rPr>
        <w:t>wieloautorskich</w:t>
      </w:r>
      <w:proofErr w:type="spellEnd"/>
      <w:r w:rsidRPr="00526253">
        <w:rPr>
          <w:rStyle w:val="c1"/>
          <w:b/>
        </w:rPr>
        <w:t xml:space="preserve"> lub międzyuczelnianych </w:t>
      </w:r>
      <w:r>
        <w:rPr>
          <w:rStyle w:val="c1"/>
        </w:rPr>
        <w:t>osobą odpowiedzialną za zdeponowanie Danych Badawczych w Repozytorium jest kierownik projektu lub wyznaczona przez niego osoba. Kierownik projektu jest zobowiązany</w:t>
      </w:r>
      <w:r w:rsidRPr="00526253">
        <w:rPr>
          <w:rStyle w:val="c1"/>
          <w:b/>
        </w:rPr>
        <w:t xml:space="preserve"> posiadać zgody pozostałych współautorów </w:t>
      </w:r>
      <w:r>
        <w:rPr>
          <w:rStyle w:val="c1"/>
        </w:rPr>
        <w:t xml:space="preserve">na deponowanie Danych Badawczych w Repozytorium </w:t>
      </w:r>
      <w:r w:rsidRPr="00526253">
        <w:rPr>
          <w:rStyle w:val="c1"/>
          <w:b/>
        </w:rPr>
        <w:t>w formie pisemnych oświadczeń</w:t>
      </w:r>
      <w:r>
        <w:rPr>
          <w:rStyle w:val="c1"/>
        </w:rPr>
        <w:t>. Osoba odpowiedzialna za zdeponowanie danych jest zobowiązana przedłożyć ww. oświadczenia lub ich odpisy niezwłocznie, na każde żądanie Kuratora Danych.</w:t>
      </w:r>
    </w:p>
    <w:p w:rsidR="00526253" w:rsidRDefault="00526253" w:rsidP="00526253">
      <w:pPr>
        <w:rPr>
          <w:rStyle w:val="c1"/>
        </w:rPr>
      </w:pPr>
      <w:r>
        <w:rPr>
          <w:rStyle w:val="c1"/>
        </w:rPr>
        <w:t>Deponujący przyjmuje do wiadomości, że zdeponowane przez niego</w:t>
      </w:r>
      <w:r w:rsidRPr="00526253">
        <w:rPr>
          <w:rStyle w:val="c1"/>
          <w:b/>
        </w:rPr>
        <w:t xml:space="preserve"> dane mogą być przeglądane przez Kuratora Danych oraz Administratora Repozytorium </w:t>
      </w:r>
      <w:r>
        <w:rPr>
          <w:rStyle w:val="c1"/>
        </w:rPr>
        <w:t>w ramach okresowego monitorowania zgodności ze stanem faktycznym złożonych oświadczeń, dotyczących danych osobowych i autorskich praw majątkowych.</w:t>
      </w:r>
    </w:p>
    <w:p w:rsidR="00526253" w:rsidRDefault="00526253" w:rsidP="00526253">
      <w:pPr>
        <w:rPr>
          <w:rStyle w:val="c1"/>
        </w:rPr>
      </w:pPr>
      <w:r>
        <w:rPr>
          <w:rStyle w:val="c1"/>
        </w:rPr>
        <w:t xml:space="preserve">Metadane zdeponowanego Zbioru Danych podlegają </w:t>
      </w:r>
      <w:r w:rsidRPr="00526253">
        <w:rPr>
          <w:rStyle w:val="c1"/>
          <w:b/>
        </w:rPr>
        <w:t>weryfikacji przez Data Stewarda</w:t>
      </w:r>
      <w:r>
        <w:rPr>
          <w:rStyle w:val="c1"/>
        </w:rPr>
        <w:t xml:space="preserve"> w zakresie kompletności i poprawności a następnie publikowane są w Repozytorium.</w:t>
      </w:r>
    </w:p>
    <w:p w:rsidR="00526253" w:rsidRDefault="00526253">
      <w:pPr>
        <w:rPr>
          <w:rStyle w:val="c1"/>
        </w:rPr>
      </w:pPr>
      <w:r>
        <w:rPr>
          <w:rStyle w:val="c1"/>
        </w:rPr>
        <w:t xml:space="preserve">Każdemu zdeponowanemu Zbiorowi Danych zostaje nadany </w:t>
      </w:r>
      <w:r w:rsidRPr="00526253">
        <w:rPr>
          <w:rStyle w:val="c1"/>
          <w:b/>
        </w:rPr>
        <w:t>Identyfikator DOI</w:t>
      </w:r>
      <w:r>
        <w:rPr>
          <w:rStyle w:val="c1"/>
        </w:rPr>
        <w:t xml:space="preserve">. Jeden Zbiór Danych może mieć nadany wyłącznie jeden indywidualny Identyfikator DOI. W celu nadania indywidualnego Identyfikatora DOI </w:t>
      </w:r>
      <w:r w:rsidRPr="00526253">
        <w:rPr>
          <w:rStyle w:val="c1"/>
          <w:b/>
        </w:rPr>
        <w:t>korzysta się z usług DOI RA, c</w:t>
      </w:r>
      <w:r>
        <w:rPr>
          <w:rStyle w:val="c1"/>
        </w:rPr>
        <w:t>o wiąże się z przekazaniem Metad</w:t>
      </w:r>
      <w:bookmarkStart w:id="0" w:name="_GoBack"/>
      <w:bookmarkEnd w:id="0"/>
      <w:r>
        <w:rPr>
          <w:rStyle w:val="c1"/>
        </w:rPr>
        <w:t>anych do DOI RA</w:t>
      </w:r>
      <w:r>
        <w:rPr>
          <w:rStyle w:val="c1"/>
        </w:rPr>
        <w:t>.</w:t>
      </w:r>
    </w:p>
    <w:p w:rsidR="00526253" w:rsidRDefault="00526253">
      <w:pPr>
        <w:rPr>
          <w:rStyle w:val="c1"/>
        </w:rPr>
      </w:pPr>
      <w:r>
        <w:rPr>
          <w:rStyle w:val="c1"/>
        </w:rPr>
        <w:t>W przypadku projektów międzyuczelnianych regulaminem obowiązującym jest regulamin zatwierdzony w instytucji naukowej kierownika projektu.</w:t>
      </w:r>
    </w:p>
    <w:p w:rsidR="00526253" w:rsidRDefault="00526253">
      <w:pPr>
        <w:rPr>
          <w:rStyle w:val="c1"/>
          <w:b/>
        </w:rPr>
      </w:pPr>
      <w:r>
        <w:rPr>
          <w:rStyle w:val="c1"/>
        </w:rPr>
        <w:t xml:space="preserve">Dane Badawcze są przechowywane w Repozytorium </w:t>
      </w:r>
      <w:r w:rsidRPr="00526253">
        <w:rPr>
          <w:rStyle w:val="c1"/>
          <w:b/>
        </w:rPr>
        <w:t>przez okres obowiązywania Umowy Głównej.</w:t>
      </w:r>
    </w:p>
    <w:p w:rsidR="00D7323B" w:rsidRDefault="00D7323B">
      <w:pPr>
        <w:rPr>
          <w:rStyle w:val="c1"/>
          <w:b/>
        </w:rPr>
      </w:pPr>
    </w:p>
    <w:p w:rsidR="00D7323B" w:rsidRPr="00075F05" w:rsidRDefault="00D7323B" w:rsidP="00075F05">
      <w:pPr>
        <w:pStyle w:val="Nagwek1"/>
        <w:rPr>
          <w:rFonts w:asciiTheme="minorHAnsi" w:hAnsiTheme="minorHAnsi" w:cstheme="minorHAnsi"/>
          <w:sz w:val="32"/>
        </w:rPr>
      </w:pPr>
      <w:r w:rsidRPr="00F80E03">
        <w:rPr>
          <w:rFonts w:asciiTheme="minorHAnsi" w:hAnsiTheme="minorHAnsi" w:cstheme="minorHAnsi"/>
          <w:sz w:val="32"/>
        </w:rPr>
        <w:t>Instrukcja zakładania konta w RODBUK</w:t>
      </w:r>
    </w:p>
    <w:p w:rsidR="00FC186E" w:rsidRDefault="00FC186E" w:rsidP="00FC186E">
      <w:hyperlink r:id="rId5" w:history="1">
        <w:r w:rsidRPr="00F31524">
          <w:rPr>
            <w:rStyle w:val="Hipercze"/>
          </w:rPr>
          <w:t>https://userguide.bg.agh.edu.pl/8-2/zakladanie-konta-logowanie/akademia-gorniczo-hutnicza/</w:t>
        </w:r>
      </w:hyperlink>
    </w:p>
    <w:p w:rsidR="00D7323B" w:rsidRDefault="00D7323B" w:rsidP="00FC186E">
      <w:pPr>
        <w:pStyle w:val="Akapitzlist"/>
        <w:numPr>
          <w:ilvl w:val="0"/>
          <w:numId w:val="3"/>
        </w:numPr>
      </w:pPr>
      <w:r>
        <w:t xml:space="preserve">Przed pierwszym deponowaniem danych w RODBUK należy założyć konto używając adresu poczty w domenie swojej uczelni. </w:t>
      </w:r>
    </w:p>
    <w:p w:rsidR="00D7323B" w:rsidRDefault="00D7323B" w:rsidP="00FC186E">
      <w:pPr>
        <w:pStyle w:val="Akapitzlist"/>
        <w:numPr>
          <w:ilvl w:val="0"/>
          <w:numId w:val="3"/>
        </w:numPr>
      </w:pPr>
      <w:r>
        <w:t xml:space="preserve">W sekcji „Zdeponuj dane w repozytorium swojej uczelni” należy wybrać właściwą uczelnię. Nastąpi przekierowanie do strony </w:t>
      </w:r>
      <w:r w:rsidRPr="00FC186E">
        <w:rPr>
          <w:b/>
        </w:rPr>
        <w:t>uczelnianego serwera uwierzytelniani</w:t>
      </w:r>
      <w:r>
        <w:t xml:space="preserve">a, gdzie trzeba się zalogować. </w:t>
      </w:r>
    </w:p>
    <w:p w:rsidR="00D7323B" w:rsidRDefault="00D7323B" w:rsidP="00FC186E">
      <w:pPr>
        <w:pStyle w:val="Akapitzlist"/>
        <w:numPr>
          <w:ilvl w:val="0"/>
          <w:numId w:val="3"/>
        </w:numPr>
      </w:pPr>
      <w:r>
        <w:t xml:space="preserve">Po zalogowaniu nastąpi przekierowanie z powrotem do witryny RODBUK – podczas pierwszego logowania należy sprawdzić poprawność wprowadzonych danych, zaakceptować </w:t>
      </w:r>
      <w:hyperlink r:id="rId6" w:history="1">
        <w:r w:rsidRPr="00D7323B">
          <w:rPr>
            <w:rStyle w:val="Hipercze"/>
          </w:rPr>
          <w:t xml:space="preserve">regulamin </w:t>
        </w:r>
      </w:hyperlink>
      <w:r>
        <w:t xml:space="preserve">i kliknąć </w:t>
      </w:r>
      <w:r w:rsidRPr="00FC186E">
        <w:rPr>
          <w:b/>
        </w:rPr>
        <w:t>„Utwórz konto”</w:t>
      </w:r>
      <w:r>
        <w:t xml:space="preserve">. </w:t>
      </w:r>
    </w:p>
    <w:p w:rsidR="00D7323B" w:rsidRDefault="00D7323B" w:rsidP="00D7323B">
      <w:pPr>
        <w:pStyle w:val="Akapitzlist"/>
        <w:numPr>
          <w:ilvl w:val="0"/>
          <w:numId w:val="3"/>
        </w:numPr>
      </w:pPr>
      <w:r>
        <w:t>Po weryfikacji i nadaniu uprawnień przez Data Stewarda można rozpocząć deponowanie danych w RODBUK. Weryfikacja konta powinna zająć około 1 dzień roboczy.</w:t>
      </w:r>
    </w:p>
    <w:p w:rsidR="00840775" w:rsidRDefault="00840775" w:rsidP="00F80E03">
      <w:pPr>
        <w:pStyle w:val="Nagwek1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>Instrukcja deponowania metadanych</w:t>
      </w:r>
    </w:p>
    <w:p w:rsidR="00840775" w:rsidRPr="00840775" w:rsidRDefault="00840775" w:rsidP="00840775">
      <w:hyperlink r:id="rId7" w:history="1">
        <w:r w:rsidRPr="00840775">
          <w:rPr>
            <w:rStyle w:val="Hipercze"/>
            <w:rFonts w:cstheme="minorHAnsi"/>
          </w:rPr>
          <w:t>https://userguide.bg.agh.edu.pl/8-2/deponowanie-metadanych/</w:t>
        </w:r>
      </w:hyperlink>
    </w:p>
    <w:p w:rsidR="00840775" w:rsidRDefault="00840775" w:rsidP="00840775">
      <w:pPr>
        <w:pStyle w:val="Akapitzlist"/>
        <w:numPr>
          <w:ilvl w:val="0"/>
          <w:numId w:val="1"/>
        </w:numPr>
      </w:pPr>
      <w:r>
        <w:t>Po weryfikacji konta przez Data Stewarda można już dodawać zbiory danych.</w:t>
      </w:r>
    </w:p>
    <w:p w:rsidR="00840775" w:rsidRDefault="00840775" w:rsidP="00840775">
      <w:pPr>
        <w:pStyle w:val="Akapitzlist"/>
        <w:numPr>
          <w:ilvl w:val="0"/>
          <w:numId w:val="1"/>
        </w:numPr>
      </w:pPr>
      <w:r>
        <w:t>Po wybraniu kolekcji w sekcji„</w:t>
      </w:r>
      <w:r>
        <w:t xml:space="preserve"> </w:t>
      </w:r>
      <w:r>
        <w:t>Dodaj dane – Nowy zbiór danych” należy wypełnić w formularzu pola metadanych (obowiązkowe są oznaczone gwiazdką). Niektóre z nich są powtarzalne.</w:t>
      </w:r>
    </w:p>
    <w:p w:rsidR="00840775" w:rsidRPr="00840775" w:rsidRDefault="00840775" w:rsidP="00840775">
      <w:pPr>
        <w:pStyle w:val="Akapitzlist"/>
        <w:numPr>
          <w:ilvl w:val="0"/>
          <w:numId w:val="1"/>
        </w:numPr>
      </w:pPr>
      <w:r>
        <w:t>W przypadku pól</w:t>
      </w:r>
      <w:proofErr w:type="gramStart"/>
      <w:r>
        <w:t>: </w:t>
      </w:r>
      <w:r>
        <w:rPr>
          <w:rStyle w:val="Uwydatnienie"/>
        </w:rPr>
        <w:t>schemat</w:t>
      </w:r>
      <w:proofErr w:type="gramEnd"/>
      <w:r>
        <w:rPr>
          <w:rStyle w:val="Uwydatnienie"/>
        </w:rPr>
        <w:t xml:space="preserve"> identyfikowania, dziedzina nauki wg Ministerstwa Edukacji i Nauki (</w:t>
      </w:r>
      <w:hyperlink r:id="rId8" w:tgtFrame="_blank" w:history="1">
        <w:r w:rsidRPr="00840775">
          <w:rPr>
            <w:rStyle w:val="Hipercze"/>
            <w:i/>
            <w:iCs/>
          </w:rPr>
          <w:t>MNiSW.</w:t>
        </w:r>
        <w:proofErr w:type="gramStart"/>
        <w:r w:rsidRPr="00840775">
          <w:rPr>
            <w:rStyle w:val="Hipercze"/>
            <w:i/>
            <w:iCs/>
          </w:rPr>
          <w:t>pdf</w:t>
        </w:r>
      </w:hyperlink>
      <w:proofErr w:type="gramEnd"/>
      <w:r>
        <w:rPr>
          <w:rStyle w:val="Uwydatnienie"/>
        </w:rPr>
        <w:t xml:space="preserve">), dziedzina nauki wg Organisation for </w:t>
      </w:r>
      <w:proofErr w:type="spellStart"/>
      <w:r>
        <w:rPr>
          <w:rStyle w:val="Uwydatnienie"/>
        </w:rPr>
        <w:t>Economic</w:t>
      </w:r>
      <w:proofErr w:type="spellEnd"/>
      <w:r>
        <w:rPr>
          <w:rStyle w:val="Uwydatnienie"/>
        </w:rPr>
        <w:t xml:space="preserve"> Co-</w:t>
      </w:r>
      <w:proofErr w:type="spellStart"/>
      <w:r>
        <w:rPr>
          <w:rStyle w:val="Uwydatnienie"/>
        </w:rPr>
        <w:t>operation</w:t>
      </w:r>
      <w:proofErr w:type="spellEnd"/>
      <w:r>
        <w:rPr>
          <w:rStyle w:val="Uwydatnienie"/>
        </w:rPr>
        <w:t xml:space="preserve"> and Development (</w:t>
      </w:r>
      <w:hyperlink r:id="rId9" w:tgtFrame="_blank" w:history="1">
        <w:r w:rsidRPr="00840775">
          <w:rPr>
            <w:rStyle w:val="Hipercze"/>
            <w:i/>
            <w:iCs/>
          </w:rPr>
          <w:t>OECD.</w:t>
        </w:r>
        <w:proofErr w:type="gramStart"/>
        <w:r w:rsidRPr="00840775">
          <w:rPr>
            <w:rStyle w:val="Hipercze"/>
            <w:i/>
            <w:iCs/>
          </w:rPr>
          <w:t>pdf</w:t>
        </w:r>
      </w:hyperlink>
      <w:proofErr w:type="gramEnd"/>
      <w:r>
        <w:rPr>
          <w:rStyle w:val="Uwydatnienie"/>
        </w:rPr>
        <w:t>), powiązane publikacje, powiązany zbiór danych, finansowanie, rodzaj danych w zbiorze</w:t>
      </w:r>
      <w:r>
        <w:t xml:space="preserve"> należy wybrać odpowiednie </w:t>
      </w:r>
      <w:r w:rsidRPr="00840775">
        <w:rPr>
          <w:b/>
        </w:rPr>
        <w:t>wartości z rozwijalnej listy.</w:t>
      </w:r>
    </w:p>
    <w:p w:rsidR="006C504C" w:rsidRDefault="00840775" w:rsidP="00840775">
      <w:pPr>
        <w:pStyle w:val="Akapitzlist"/>
        <w:numPr>
          <w:ilvl w:val="0"/>
          <w:numId w:val="1"/>
        </w:numPr>
      </w:pPr>
      <w:r>
        <w:t xml:space="preserve">Po zapisaniu powstanie </w:t>
      </w:r>
      <w:r w:rsidRPr="00840775">
        <w:rPr>
          <w:b/>
        </w:rPr>
        <w:t>wersja robocza zbioru danych</w:t>
      </w:r>
      <w:r>
        <w:t xml:space="preserve">, która będzie miała </w:t>
      </w:r>
      <w:r w:rsidRPr="00840775">
        <w:rPr>
          <w:b/>
        </w:rPr>
        <w:t xml:space="preserve">już przypisany numer DOI, nieaktywny do momentu zweryfikowania i opublikowania </w:t>
      </w:r>
      <w:r>
        <w:t>zbioru przez Data Stewarda. Zbiór danych będzie miał status „Wersja robocza”.</w:t>
      </w:r>
    </w:p>
    <w:p w:rsidR="00840775" w:rsidRDefault="006C504C" w:rsidP="00840775">
      <w:pPr>
        <w:pStyle w:val="Akapitzlist"/>
        <w:numPr>
          <w:ilvl w:val="0"/>
          <w:numId w:val="1"/>
        </w:numPr>
      </w:pPr>
      <w:r>
        <w:t>Wprowadzone metadane są dostępne bez ograniczeń, zgodnie z regulaminem RODBUK i powszechnie obowiązującym prawem.</w:t>
      </w:r>
    </w:p>
    <w:p w:rsidR="00463A65" w:rsidRPr="00463A65" w:rsidRDefault="00463A65" w:rsidP="00463A65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63A65">
        <w:rPr>
          <w:rFonts w:eastAsia="Times New Roman" w:cstheme="minorHAnsi"/>
          <w:sz w:val="24"/>
          <w:szCs w:val="24"/>
          <w:lang w:eastAsia="pl-PL"/>
        </w:rPr>
        <w:t xml:space="preserve">W RODBUK  jest stosowany otwarty standard opisu metadanych </w:t>
      </w:r>
      <w:hyperlink r:id="rId10" w:tgtFrame="_blank" w:history="1">
        <w:r w:rsidRPr="00463A65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 xml:space="preserve">Dublin </w:t>
        </w:r>
        <w:proofErr w:type="spellStart"/>
        <w:r w:rsidRPr="00463A65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>Core</w:t>
        </w:r>
        <w:proofErr w:type="spellEnd"/>
      </w:hyperlink>
    </w:p>
    <w:p w:rsidR="00463A65" w:rsidRPr="006C504C" w:rsidRDefault="00463A65" w:rsidP="00463A65">
      <w:pPr>
        <w:pStyle w:val="Akapitzlist"/>
      </w:pPr>
    </w:p>
    <w:p w:rsidR="00D7323B" w:rsidRDefault="00D7323B" w:rsidP="00F80E03">
      <w:pPr>
        <w:pStyle w:val="Nagwek1"/>
        <w:rPr>
          <w:rFonts w:asciiTheme="minorHAnsi" w:hAnsiTheme="minorHAnsi" w:cstheme="minorHAnsi"/>
          <w:sz w:val="32"/>
        </w:rPr>
      </w:pPr>
      <w:r w:rsidRPr="00F80E03">
        <w:rPr>
          <w:rFonts w:asciiTheme="minorHAnsi" w:hAnsiTheme="minorHAnsi" w:cstheme="minorHAnsi"/>
          <w:sz w:val="32"/>
        </w:rPr>
        <w:t>Instrukcja deponowania danych badawczych</w:t>
      </w:r>
    </w:p>
    <w:p w:rsidR="00B52C33" w:rsidRPr="00B52C33" w:rsidRDefault="00B52C33" w:rsidP="00B52C33">
      <w:pPr>
        <w:rPr>
          <w:szCs w:val="24"/>
        </w:rPr>
      </w:pPr>
      <w:hyperlink r:id="rId11" w:history="1">
        <w:r w:rsidRPr="00B52C33">
          <w:rPr>
            <w:rStyle w:val="Hipercze"/>
            <w:rFonts w:cstheme="minorHAnsi"/>
            <w:szCs w:val="24"/>
          </w:rPr>
          <w:t>https://userguide.bg.agh.edu.pl/</w:t>
        </w:r>
      </w:hyperlink>
      <w:r w:rsidRPr="00B52C33">
        <w:rPr>
          <w:szCs w:val="24"/>
        </w:rPr>
        <w:t xml:space="preserve"> </w:t>
      </w:r>
    </w:p>
    <w:p w:rsidR="00463A65" w:rsidRDefault="00463A65" w:rsidP="00463A65">
      <w:pPr>
        <w:pStyle w:val="Akapitzlist"/>
        <w:numPr>
          <w:ilvl w:val="0"/>
          <w:numId w:val="2"/>
        </w:numPr>
      </w:pPr>
      <w:r>
        <w:t>W sekcji „Pliki” za pomocą przycisku „Wybierz pliki do dodania” należy załączyć wybrane do udostępnienia pliki tworzące zbiór danych (wraz z plikiem</w:t>
      </w:r>
      <w:hyperlink r:id="rId12" w:tgtFrame="_blank" w:history="1">
        <w:r>
          <w:rPr>
            <w:rStyle w:val="Hipercze"/>
          </w:rPr>
          <w:t> readme.</w:t>
        </w:r>
        <w:proofErr w:type="gramStart"/>
        <w:r>
          <w:rPr>
            <w:rStyle w:val="Hipercze"/>
          </w:rPr>
          <w:t>txt</w:t>
        </w:r>
      </w:hyperlink>
      <w:proofErr w:type="gramEnd"/>
      <w:r>
        <w:t xml:space="preserve">). </w:t>
      </w:r>
    </w:p>
    <w:p w:rsidR="00D7323B" w:rsidRDefault="00463A65" w:rsidP="00463A65">
      <w:pPr>
        <w:pStyle w:val="Akapitzlist"/>
        <w:numPr>
          <w:ilvl w:val="0"/>
          <w:numId w:val="2"/>
        </w:numPr>
      </w:pPr>
      <w:r>
        <w:t xml:space="preserve">Do RODBUK można przesłać pojedynczy plik o maksymalnej wielkości </w:t>
      </w:r>
      <w:r>
        <w:rPr>
          <w:rStyle w:val="Pogrubienie"/>
        </w:rPr>
        <w:t>4 GB</w:t>
      </w:r>
      <w:r>
        <w:t>.</w:t>
      </w:r>
      <w:r>
        <w:t xml:space="preserve"> </w:t>
      </w:r>
      <w:r>
        <w:t xml:space="preserve">Przesyłanie </w:t>
      </w:r>
      <w:r w:rsidRPr="00FC186E">
        <w:t xml:space="preserve">większych plików wymaga użycia </w:t>
      </w:r>
      <w:proofErr w:type="spellStart"/>
      <w:r w:rsidRPr="00FC186E">
        <w:rPr>
          <w:b/>
        </w:rPr>
        <w:t>tokena</w:t>
      </w:r>
      <w:proofErr w:type="spellEnd"/>
      <w:r w:rsidRPr="00FC186E">
        <w:rPr>
          <w:b/>
        </w:rPr>
        <w:t xml:space="preserve"> API</w:t>
      </w:r>
      <w:r>
        <w:t xml:space="preserve">, który można wygenerować pod kontem użytkownika wybierając </w:t>
      </w:r>
      <w:proofErr w:type="spellStart"/>
      <w:r>
        <w:t>Token</w:t>
      </w:r>
      <w:proofErr w:type="spellEnd"/>
      <w:r>
        <w:t xml:space="preserve"> API a następnie utwórz </w:t>
      </w:r>
      <w:proofErr w:type="spellStart"/>
      <w:r>
        <w:t>Token</w:t>
      </w:r>
      <w:proofErr w:type="spellEnd"/>
      <w:r>
        <w:t xml:space="preserve"> (jest on ważny przez rok), oraz skryptu dostępnego na </w:t>
      </w:r>
      <w:hyperlink r:id="rId13" w:history="1">
        <w:r>
          <w:rPr>
            <w:rStyle w:val="Hipercze"/>
          </w:rPr>
          <w:t>GitHub</w:t>
        </w:r>
      </w:hyperlink>
      <w:r>
        <w:t>. Przed zdeponowaniem dużych plików prosimy o kontakt z administratorem RODBUK.</w:t>
      </w:r>
    </w:p>
    <w:p w:rsidR="00463A65" w:rsidRDefault="00463A65" w:rsidP="00463A65">
      <w:pPr>
        <w:pStyle w:val="Akapitzlist"/>
        <w:numPr>
          <w:ilvl w:val="0"/>
          <w:numId w:val="2"/>
        </w:numPr>
      </w:pPr>
      <w:r>
        <w:t xml:space="preserve">W przypadku stosowania programów do kompresji i archiwizacji danych zalecamy </w:t>
      </w:r>
      <w:r w:rsidRPr="00463A65">
        <w:rPr>
          <w:b/>
        </w:rPr>
        <w:t>ZIP lub 7-Zip</w:t>
      </w:r>
      <w:r>
        <w:t>, które mają otwartą architekturę i są powszechnie dostępne.</w:t>
      </w:r>
    </w:p>
    <w:p w:rsidR="00463A65" w:rsidRDefault="00463A65" w:rsidP="00463A65">
      <w:pPr>
        <w:pStyle w:val="Akapitzlist"/>
        <w:numPr>
          <w:ilvl w:val="0"/>
          <w:numId w:val="2"/>
        </w:numPr>
      </w:pPr>
      <w:r>
        <w:t>Zgodnie z wytycznymi instytucji finansujących badania naukowe, dane badawcze należy zapisywać w </w:t>
      </w:r>
      <w:hyperlink r:id="rId14" w:tgtFrame="_blank" w:history="1">
        <w:r>
          <w:rPr>
            <w:rStyle w:val="Hipercze"/>
          </w:rPr>
          <w:t>formatach otwartych</w:t>
        </w:r>
      </w:hyperlink>
      <w:r>
        <w:t xml:space="preserve"> (np. </w:t>
      </w:r>
      <w:proofErr w:type="spellStart"/>
      <w:r w:rsidRPr="00463A65">
        <w:rPr>
          <w:b/>
        </w:rPr>
        <w:t>OpenDocument</w:t>
      </w:r>
      <w:proofErr w:type="spellEnd"/>
      <w:r w:rsidRPr="00463A65">
        <w:rPr>
          <w:b/>
        </w:rPr>
        <w:t xml:space="preserve">, PNG, FLAC, </w:t>
      </w:r>
      <w:proofErr w:type="spellStart"/>
      <w:r w:rsidRPr="00463A65">
        <w:rPr>
          <w:b/>
        </w:rPr>
        <w:t>WebM</w:t>
      </w:r>
      <w:proofErr w:type="spellEnd"/>
      <w:r w:rsidRPr="00463A65">
        <w:rPr>
          <w:b/>
        </w:rPr>
        <w:t>, HTML, CSS),</w:t>
      </w:r>
      <w:r>
        <w:t xml:space="preserve"> powszechnie dostępnych i bezpłatnych z wyjątkiem sytuacji, kiedy konwersja plików z oprogramowania specjalistycznego do otwartego może wpłynąć na jakość danych.</w:t>
      </w:r>
    </w:p>
    <w:p w:rsidR="00463A65" w:rsidRDefault="00463A65" w:rsidP="00463A65">
      <w:pPr>
        <w:pStyle w:val="Akapitzlist"/>
        <w:numPr>
          <w:ilvl w:val="0"/>
          <w:numId w:val="2"/>
        </w:numPr>
      </w:pPr>
      <w:r>
        <w:t>W ramach jednego zbioru danych można stosować różne rodzaje dostępu do po</w:t>
      </w:r>
      <w:r>
        <w:t xml:space="preserve">szczególnych plików. </w:t>
      </w:r>
      <w:r>
        <w:t xml:space="preserve">Dostęp do pliku może być objęty </w:t>
      </w:r>
      <w:r>
        <w:rPr>
          <w:rStyle w:val="Pogrubienie"/>
        </w:rPr>
        <w:t>embargiem</w:t>
      </w:r>
      <w:r>
        <w:t xml:space="preserve"> czasowym określonym w momencie deponowania danych lub </w:t>
      </w:r>
      <w:r>
        <w:rPr>
          <w:rStyle w:val="Pogrubienie"/>
        </w:rPr>
        <w:t>Ograniczony/</w:t>
      </w:r>
      <w:proofErr w:type="spellStart"/>
      <w:r>
        <w:rPr>
          <w:rStyle w:val="Pogrubienie"/>
        </w:rPr>
        <w:t>Restricted</w:t>
      </w:r>
      <w:proofErr w:type="spellEnd"/>
      <w:r>
        <w:t xml:space="preserve"> permanentnie z możliwością uzyskania dostępu do niego od autora zbioru danych (poprzez kontakt mailowy). Dostęp do pliku objętego embargiem zostaje automatycznie odblokowany wraz z jego upływem. Maksymalny okres embarga stosowany w RODBUK to </w:t>
      </w:r>
      <w:r>
        <w:rPr>
          <w:rStyle w:val="Pogrubienie"/>
        </w:rPr>
        <w:t>36 miesięcy</w:t>
      </w:r>
      <w:r>
        <w:t>.  </w:t>
      </w:r>
    </w:p>
    <w:p w:rsidR="00463A65" w:rsidRDefault="00463A65" w:rsidP="00463A65">
      <w:pPr>
        <w:pStyle w:val="Akapitzlist"/>
      </w:pPr>
      <w:r>
        <w:t xml:space="preserve">Są </w:t>
      </w:r>
      <w:r>
        <w:t>3 rodzaje dostępu:</w:t>
      </w:r>
    </w:p>
    <w:p w:rsidR="00463A65" w:rsidRDefault="00463A65" w:rsidP="00463A65">
      <w:pPr>
        <w:pStyle w:val="Akapitzlist"/>
      </w:pPr>
      <w:r>
        <w:rPr>
          <w:rStyle w:val="Pogrubienie"/>
        </w:rPr>
        <w:t>Publiczny/Public</w:t>
      </w:r>
      <w:r>
        <w:t xml:space="preserve"> – możliwy dla wszystkich użytkowników RODBUK-a.</w:t>
      </w:r>
      <w:r>
        <w:br/>
      </w:r>
      <w:r>
        <w:rPr>
          <w:rStyle w:val="Pogrubienie"/>
        </w:rPr>
        <w:t>Ograniczony/</w:t>
      </w:r>
      <w:proofErr w:type="spellStart"/>
      <w:r>
        <w:rPr>
          <w:rStyle w:val="Pogrubienie"/>
        </w:rPr>
        <w:t>Restricted</w:t>
      </w:r>
      <w:proofErr w:type="spellEnd"/>
      <w:r>
        <w:rPr>
          <w:rStyle w:val="Pogrubienie"/>
        </w:rPr>
        <w:t xml:space="preserve"> </w:t>
      </w:r>
      <w:r>
        <w:t>– limitowany z możliwością uzyskania dostępu do konkretnego pliku/ów poprzez kontakt mailowy z jego Deponującym.</w:t>
      </w:r>
      <w:r>
        <w:br/>
      </w:r>
      <w:r>
        <w:rPr>
          <w:rStyle w:val="Pogrubienie"/>
        </w:rPr>
        <w:t>Objęty embargiem/</w:t>
      </w:r>
      <w:proofErr w:type="spellStart"/>
      <w:r>
        <w:rPr>
          <w:rStyle w:val="Pogrubienie"/>
        </w:rPr>
        <w:t>Embargoed</w:t>
      </w:r>
      <w:proofErr w:type="spellEnd"/>
      <w:r>
        <w:t xml:space="preserve"> – możliwy (automatycznie) po upływie określonego czasu </w:t>
      </w:r>
      <w:r>
        <w:lastRenderedPageBreak/>
        <w:t>przez Deponującego zbiór danych (max. okres embarga stosowany w RODBUK wynosi 36 miesięcy).</w:t>
      </w:r>
    </w:p>
    <w:p w:rsidR="00463A65" w:rsidRDefault="00463A65" w:rsidP="00463A65">
      <w:pPr>
        <w:pStyle w:val="Akapitzlist"/>
        <w:numPr>
          <w:ilvl w:val="0"/>
          <w:numId w:val="2"/>
        </w:numPr>
      </w:pPr>
      <w:r>
        <w:t xml:space="preserve">O ograniczeniu dostępu do poszczególnych plików </w:t>
      </w:r>
      <w:r w:rsidRPr="00FC186E">
        <w:rPr>
          <w:b/>
        </w:rPr>
        <w:t>decyduje Deponujący</w:t>
      </w:r>
      <w:r>
        <w:t>. Po jego stronie są również dodatkowe działania mające na celu weryfikację osoby, która poprosiła o udostępnienie danych.</w:t>
      </w:r>
    </w:p>
    <w:p w:rsidR="009D0E2D" w:rsidRDefault="00463A65" w:rsidP="009D0E2D">
      <w:pPr>
        <w:pStyle w:val="Akapitzlist"/>
        <w:numPr>
          <w:ilvl w:val="0"/>
          <w:numId w:val="2"/>
        </w:numPr>
      </w:pPr>
      <w:r w:rsidRPr="00463A65">
        <w:rPr>
          <w:b/>
        </w:rPr>
        <w:t>Data Steward weryfikuje</w:t>
      </w:r>
      <w:r>
        <w:t xml:space="preserve"> wprowadzony opis zbioru pod kątem jego</w:t>
      </w:r>
      <w:r w:rsidRPr="00463A65">
        <w:rPr>
          <w:b/>
        </w:rPr>
        <w:t xml:space="preserve"> kompletności i poprawności. </w:t>
      </w:r>
      <w:r>
        <w:t xml:space="preserve">Na ten proces składa się sprawdzenie poprawności metadanych oraz załączonych plików. Jeżeli opis i pliki zostały wprowadzone poprawnie – zbiór danych zostanie opublikowany a w razie wątpliwości, </w:t>
      </w:r>
      <w:r w:rsidRPr="008B527D">
        <w:rPr>
          <w:b/>
        </w:rPr>
        <w:t>Data Steward może odesłać Deponującemu zbiór do poprawy,</w:t>
      </w:r>
      <w:r>
        <w:t xml:space="preserve"> kontaktując się z nim mailowo.</w:t>
      </w:r>
      <w:r w:rsidR="009D0E2D">
        <w:t xml:space="preserve"> </w:t>
      </w:r>
      <w:r w:rsidR="009D0E2D">
        <w:t xml:space="preserve">Po opublikowaniu zbioru indywidualny </w:t>
      </w:r>
      <w:r w:rsidR="009D0E2D" w:rsidRPr="009D0E2D">
        <w:rPr>
          <w:b/>
        </w:rPr>
        <w:t>numer DOI</w:t>
      </w:r>
      <w:r w:rsidR="009D0E2D">
        <w:t xml:space="preserve"> (ang. Digital Object </w:t>
      </w:r>
      <w:proofErr w:type="spellStart"/>
      <w:r w:rsidR="009D0E2D">
        <w:t>Identifier</w:t>
      </w:r>
      <w:proofErr w:type="spellEnd"/>
      <w:r w:rsidR="009D0E2D">
        <w:t xml:space="preserve">) </w:t>
      </w:r>
      <w:r w:rsidR="009D0E2D" w:rsidRPr="009D0E2D">
        <w:rPr>
          <w:b/>
        </w:rPr>
        <w:t>będzie aktywny i nie ma już możliwości wprowadzenia zmian</w:t>
      </w:r>
      <w:r w:rsidR="009D0E2D">
        <w:t>. Istnieje możliwość utworzenia kolejnych, numerowanych wersji zbioru danych na bazie istniejącej, już opublikowanej wersji.</w:t>
      </w:r>
    </w:p>
    <w:p w:rsidR="00463A65" w:rsidRPr="00463A65" w:rsidRDefault="00463A65" w:rsidP="00463A65">
      <w:pPr>
        <w:pStyle w:val="Akapitzlist"/>
        <w:numPr>
          <w:ilvl w:val="0"/>
          <w:numId w:val="2"/>
        </w:numPr>
        <w:rPr>
          <w:b/>
        </w:rPr>
      </w:pPr>
      <w:r>
        <w:t xml:space="preserve">Opublikowany </w:t>
      </w:r>
      <w:r w:rsidRPr="00463A65">
        <w:rPr>
          <w:b/>
        </w:rPr>
        <w:t xml:space="preserve">zbiór danych nie podlega usunięciu z RODBUK. </w:t>
      </w:r>
      <w:r>
        <w:t xml:space="preserve">W szczególnych przypadkach, takich jak naruszenie praw autorskich i innych praw własności intelektualnej, podejrzenie o popełnienie plagiatu, istnieje możliwość jego wycofania. W tym celu należy zwrócić się do Data Stewarda danej instytucji. Wycofanie zbioru danych obejmuje usunięcie wszystkich składających się na niego wersji. Publicznie dostępne pozostają podstawowe informacje dotyczące usuniętego zbioru (tzw. </w:t>
      </w:r>
      <w:proofErr w:type="spellStart"/>
      <w:r>
        <w:t>tombstone</w:t>
      </w:r>
      <w:proofErr w:type="spellEnd"/>
      <w:r>
        <w:t>), czyli cytowanie i powód usunięcia danych. Pełny opis metadanych pozostaje widoczny jedynie dla osób, które posiadają role systemowe umożliwiające wycofanie zbioru.</w:t>
      </w:r>
    </w:p>
    <w:p w:rsidR="00463A65" w:rsidRDefault="00463A65" w:rsidP="00463A65">
      <w:pPr>
        <w:pStyle w:val="Akapitzlist"/>
      </w:pPr>
    </w:p>
    <w:p w:rsidR="00463A65" w:rsidRPr="00463A65" w:rsidRDefault="00463A65" w:rsidP="00463A6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hyperlink r:id="rId15" w:tgtFrame="_blank" w:history="1">
        <w:r w:rsidRPr="00463A65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>Przykładowy plik README</w:t>
        </w:r>
      </w:hyperlink>
    </w:p>
    <w:p w:rsidR="00463A65" w:rsidRPr="00463A65" w:rsidRDefault="00463A65" w:rsidP="00463A6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hyperlink r:id="rId16" w:tgtFrame="_blank" w:history="1">
        <w:r w:rsidRPr="00463A65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>Preferowane formaty plików w RODBUK</w:t>
        </w:r>
      </w:hyperlink>
    </w:p>
    <w:p w:rsidR="00D7323B" w:rsidRDefault="00D7323B"/>
    <w:p w:rsidR="00D7323B" w:rsidRDefault="00D7323B"/>
    <w:p w:rsidR="00D7323B" w:rsidRDefault="00FC186E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62B9631B" wp14:editId="7D1BF55F">
            <wp:simplePos x="0" y="0"/>
            <wp:positionH relativeFrom="column">
              <wp:posOffset>357505</wp:posOffset>
            </wp:positionH>
            <wp:positionV relativeFrom="paragraph">
              <wp:posOffset>-190500</wp:posOffset>
            </wp:positionV>
            <wp:extent cx="4705350" cy="3986530"/>
            <wp:effectExtent l="0" t="0" r="0" b="0"/>
            <wp:wrapTight wrapText="bothSides">
              <wp:wrapPolygon edited="0">
                <wp:start x="0" y="0"/>
                <wp:lineTo x="0" y="21469"/>
                <wp:lineTo x="21513" y="21469"/>
                <wp:lineTo x="21513" y="0"/>
                <wp:lineTo x="0" y="0"/>
              </wp:wrapPolygon>
            </wp:wrapTight>
            <wp:docPr id="1" name="Obraz 1" descr="https://userguide.bg.agh.edu.pl/wp-content/uploads/2024/07/p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guide.bg.agh.edu.pl/wp-content/uploads/2024/07/pl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23B" w:rsidRDefault="00D7323B">
      <w:r>
        <w:rPr>
          <w:noProof/>
          <w:lang w:eastAsia="pl-PL"/>
        </w:rPr>
        <w:lastRenderedPageBreak/>
        <w:drawing>
          <wp:inline distT="0" distB="0" distL="0" distR="0">
            <wp:extent cx="4505325" cy="4434818"/>
            <wp:effectExtent l="0" t="0" r="0" b="4445"/>
            <wp:docPr id="2" name="Obraz 2" descr="https://userguide.bg.agh.edu.pl/wp-content/uploads/2024/07/p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guide.bg.agh.edu.pl/wp-content/uploads/2024/07/pl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88" cy="44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65" w:rsidRDefault="00463A65" w:rsidP="00F80E03">
      <w:pPr>
        <w:pStyle w:val="Nagwek1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Wybór licencji</w:t>
      </w:r>
    </w:p>
    <w:p w:rsidR="00463A65" w:rsidRDefault="00463A65" w:rsidP="00463A65">
      <w:hyperlink r:id="rId19" w:history="1">
        <w:r w:rsidRPr="00F31524">
          <w:rPr>
            <w:rStyle w:val="Hipercze"/>
          </w:rPr>
          <w:t>https://userguide.bg.agh.edu.pl/8-2/wybor-licencji/</w:t>
        </w:r>
      </w:hyperlink>
      <w:r>
        <w:t xml:space="preserve"> </w:t>
      </w:r>
    </w:p>
    <w:p w:rsidR="00463A65" w:rsidRDefault="00463A65" w:rsidP="00463A65">
      <w:r>
        <w:t>Licencje CC, dla baz danych do programów komputerowych.</w:t>
      </w:r>
    </w:p>
    <w:p w:rsidR="00463A65" w:rsidRDefault="00463A65" w:rsidP="00463A65">
      <w:r>
        <w:t xml:space="preserve">Jeżeli zaproponowane licencje nie spełniają wymagań Deponującego, jest możliwość wyboru tzw. </w:t>
      </w:r>
      <w:r w:rsidRPr="00463A65">
        <w:rPr>
          <w:b/>
        </w:rPr>
        <w:t>licencji niestandardowej</w:t>
      </w:r>
      <w:r>
        <w:t xml:space="preserve">, w której należy określić warunki, na jakich zbiór danych będzie </w:t>
      </w:r>
      <w:proofErr w:type="gramStart"/>
      <w:r>
        <w:t>udostępniony</w:t>
      </w:r>
      <w:proofErr w:type="gramEnd"/>
      <w:r>
        <w:t>.</w:t>
      </w:r>
    </w:p>
    <w:p w:rsidR="0068275A" w:rsidRDefault="0068275A" w:rsidP="0068275A">
      <w:pPr>
        <w:rPr>
          <w:b/>
        </w:rPr>
      </w:pPr>
    </w:p>
    <w:p w:rsidR="00B064FF" w:rsidRPr="00B064FF" w:rsidRDefault="00B064FF" w:rsidP="00B064FF">
      <w:pPr>
        <w:pStyle w:val="Nagwek1"/>
        <w:rPr>
          <w:rFonts w:asciiTheme="minorHAnsi" w:hAnsiTheme="minorHAnsi" w:cstheme="minorHAnsi"/>
          <w:sz w:val="32"/>
        </w:rPr>
      </w:pPr>
      <w:r w:rsidRPr="00B064FF">
        <w:rPr>
          <w:rFonts w:asciiTheme="minorHAnsi" w:hAnsiTheme="minorHAnsi" w:cstheme="minorHAnsi"/>
          <w:sz w:val="32"/>
        </w:rPr>
        <w:t>Zabezpieczenie i długoterminowa archiwizacja</w:t>
      </w:r>
    </w:p>
    <w:p w:rsidR="0068275A" w:rsidRDefault="0068275A" w:rsidP="0068275A">
      <w:r>
        <w:t>RODBUK zapewnia długoterminowe archiwizowanie danych na serwerach ACK Cyfronet AGH. Kopie plików z danymi są automatycznie tworzone w czasie rzeczywistym, a kopie metadanych raz na dobę. Kopie bezpieczeństwa są przechowywane w różnych lokalizacjach.</w:t>
      </w:r>
    </w:p>
    <w:p w:rsidR="00B064FF" w:rsidRPr="00B064FF" w:rsidRDefault="00B064FF" w:rsidP="00B064FF">
      <w:pPr>
        <w:pStyle w:val="has-ast-global-color-0-color"/>
        <w:rPr>
          <w:rFonts w:asciiTheme="minorHAnsi" w:hAnsiTheme="minorHAnsi" w:cstheme="minorHAnsi"/>
        </w:rPr>
      </w:pPr>
      <w:r w:rsidRPr="00B064FF">
        <w:rPr>
          <w:rStyle w:val="Pogrubienie"/>
          <w:rFonts w:asciiTheme="minorHAnsi" w:hAnsiTheme="minorHAnsi" w:cstheme="minorHAnsi"/>
        </w:rPr>
        <w:t>Uwierzytelnianie</w:t>
      </w:r>
    </w:p>
    <w:p w:rsidR="00B064FF" w:rsidRPr="00B064FF" w:rsidRDefault="00B064FF" w:rsidP="00B064FF">
      <w:pPr>
        <w:pStyle w:val="NormalnyWeb"/>
        <w:rPr>
          <w:rFonts w:asciiTheme="minorHAnsi" w:hAnsiTheme="minorHAnsi" w:cstheme="minorHAnsi"/>
        </w:rPr>
      </w:pPr>
      <w:r w:rsidRPr="00B064FF">
        <w:rPr>
          <w:rFonts w:asciiTheme="minorHAnsi" w:hAnsiTheme="minorHAnsi" w:cstheme="minorHAnsi"/>
        </w:rPr>
        <w:t xml:space="preserve">W ramach zachowania bezpieczeństwa każdy nowy użytkownik przy zakładaniu indywidualnego konta w RODBUK jest weryfikowany przez Centralny System Uwierzytelniania Danych właściwej uczelni. Procedurę realizuje się za pomocą </w:t>
      </w:r>
      <w:r w:rsidRPr="00B064FF">
        <w:rPr>
          <w:rFonts w:asciiTheme="minorHAnsi" w:hAnsiTheme="minorHAnsi" w:cstheme="minorHAnsi"/>
        </w:rPr>
        <w:lastRenderedPageBreak/>
        <w:t>protokołów </w:t>
      </w:r>
      <w:hyperlink r:id="rId20" w:tgtFrame="_blank" w:history="1">
        <w:r w:rsidRPr="00B064FF">
          <w:rPr>
            <w:rStyle w:val="Hipercze"/>
            <w:rFonts w:asciiTheme="minorHAnsi" w:hAnsiTheme="minorHAnsi" w:cstheme="minorHAnsi"/>
          </w:rPr>
          <w:t>OIDC</w:t>
        </w:r>
      </w:hyperlink>
      <w:r w:rsidRPr="00B064FF">
        <w:rPr>
          <w:rFonts w:asciiTheme="minorHAnsi" w:hAnsiTheme="minorHAnsi" w:cstheme="minorHAnsi"/>
        </w:rPr>
        <w:t> (</w:t>
      </w:r>
      <w:proofErr w:type="spellStart"/>
      <w:r w:rsidRPr="00B064FF">
        <w:rPr>
          <w:rFonts w:asciiTheme="minorHAnsi" w:hAnsiTheme="minorHAnsi" w:cstheme="minorHAnsi"/>
        </w:rPr>
        <w:t>OpenID</w:t>
      </w:r>
      <w:proofErr w:type="spellEnd"/>
      <w:r w:rsidRPr="00B064FF">
        <w:rPr>
          <w:rFonts w:asciiTheme="minorHAnsi" w:hAnsiTheme="minorHAnsi" w:cstheme="minorHAnsi"/>
        </w:rPr>
        <w:t xml:space="preserve"> Connect) lub </w:t>
      </w:r>
      <w:hyperlink r:id="rId21" w:tgtFrame="_blank" w:history="1">
        <w:r w:rsidRPr="00B064FF">
          <w:rPr>
            <w:rStyle w:val="Hipercze"/>
            <w:rFonts w:asciiTheme="minorHAnsi" w:hAnsiTheme="minorHAnsi" w:cstheme="minorHAnsi"/>
          </w:rPr>
          <w:t>SAML2</w:t>
        </w:r>
      </w:hyperlink>
      <w:r w:rsidRPr="00B064FF">
        <w:rPr>
          <w:rFonts w:asciiTheme="minorHAnsi" w:hAnsiTheme="minorHAnsi" w:cstheme="minorHAnsi"/>
        </w:rPr>
        <w:t>. Każdorazowe logowanie wymaga loginu (adres e-mail) i hasła uwierzytelniającego (nadane przy pierwszym logowaniu). </w:t>
      </w:r>
    </w:p>
    <w:p w:rsidR="00B064FF" w:rsidRPr="00B064FF" w:rsidRDefault="00B064FF" w:rsidP="00B064FF">
      <w:pPr>
        <w:pStyle w:val="has-ast-global-color-0-color"/>
        <w:rPr>
          <w:rFonts w:asciiTheme="minorHAnsi" w:hAnsiTheme="minorHAnsi" w:cstheme="minorHAnsi"/>
        </w:rPr>
      </w:pPr>
      <w:r w:rsidRPr="00B064FF">
        <w:rPr>
          <w:rStyle w:val="Pogrubienie"/>
          <w:rFonts w:asciiTheme="minorHAnsi" w:hAnsiTheme="minorHAnsi" w:cstheme="minorHAnsi"/>
        </w:rPr>
        <w:t>Dożywotność danych</w:t>
      </w:r>
      <w:r w:rsidRPr="00B064FF">
        <w:rPr>
          <w:rFonts w:asciiTheme="minorHAnsi" w:hAnsiTheme="minorHAnsi" w:cstheme="minorHAnsi"/>
        </w:rPr>
        <w:t> </w:t>
      </w:r>
    </w:p>
    <w:p w:rsidR="00B064FF" w:rsidRPr="00B064FF" w:rsidRDefault="00B064FF" w:rsidP="00B064FF">
      <w:pPr>
        <w:pStyle w:val="NormalnyWeb"/>
        <w:rPr>
          <w:rFonts w:asciiTheme="minorHAnsi" w:hAnsiTheme="minorHAnsi" w:cstheme="minorHAnsi"/>
        </w:rPr>
      </w:pPr>
      <w:r w:rsidRPr="00B064FF">
        <w:rPr>
          <w:rFonts w:asciiTheme="minorHAnsi" w:hAnsiTheme="minorHAnsi" w:cstheme="minorHAnsi"/>
        </w:rPr>
        <w:t>Dane zdeponowane w RODBUK nie podlegają wycofaniu przez autorów. W szczególnych przypadkach (np. naruszenie przepisów prawa autorskiego osób trzecich + plagiat) dane zostaną przeniesione do archiwum zamkniętego.</w:t>
      </w:r>
    </w:p>
    <w:p w:rsidR="00B064FF" w:rsidRPr="00B064FF" w:rsidRDefault="00B064FF" w:rsidP="00B064FF">
      <w:pPr>
        <w:pStyle w:val="has-ast-global-color-0-color"/>
        <w:rPr>
          <w:rFonts w:asciiTheme="minorHAnsi" w:hAnsiTheme="minorHAnsi" w:cstheme="minorHAnsi"/>
        </w:rPr>
      </w:pPr>
      <w:r w:rsidRPr="00B064FF">
        <w:rPr>
          <w:rStyle w:val="Pogrubienie"/>
          <w:rFonts w:asciiTheme="minorHAnsi" w:hAnsiTheme="minorHAnsi" w:cstheme="minorHAnsi"/>
        </w:rPr>
        <w:t>Długoterminowa archiwizacja</w:t>
      </w:r>
      <w:r w:rsidRPr="00B064FF">
        <w:rPr>
          <w:rFonts w:asciiTheme="minorHAnsi" w:hAnsiTheme="minorHAnsi" w:cstheme="minorHAnsi"/>
        </w:rPr>
        <w:t> </w:t>
      </w:r>
    </w:p>
    <w:p w:rsidR="00B064FF" w:rsidRPr="00B064FF" w:rsidRDefault="00B064FF" w:rsidP="00B064FF">
      <w:pPr>
        <w:pStyle w:val="NormalnyWeb"/>
        <w:rPr>
          <w:rFonts w:asciiTheme="minorHAnsi" w:hAnsiTheme="minorHAnsi" w:cstheme="minorHAnsi"/>
        </w:rPr>
      </w:pPr>
      <w:r w:rsidRPr="00B064FF">
        <w:rPr>
          <w:rFonts w:asciiTheme="minorHAnsi" w:hAnsiTheme="minorHAnsi" w:cstheme="minorHAnsi"/>
        </w:rPr>
        <w:t>Wszystkie dokumenty zgromadzone w RODBUK są przechowywane i udostępniane bezterminowo, z zachowaniem zasad bezpieczeństwa danych. W przypadku wycofania się z inicjatywy RODBUK jednej z uczelni może ona p</w:t>
      </w:r>
      <w:r w:rsidRPr="00B064FF">
        <w:rPr>
          <w:rFonts w:asciiTheme="minorHAnsi" w:hAnsiTheme="minorHAnsi" w:cstheme="minorHAnsi"/>
          <w:b/>
        </w:rPr>
        <w:t>rzenieść zgromadzone dane na jej instancji do innego repozytorium</w:t>
      </w:r>
      <w:r w:rsidRPr="00B064FF">
        <w:rPr>
          <w:rFonts w:asciiTheme="minorHAnsi" w:hAnsiTheme="minorHAnsi" w:cstheme="minorHAnsi"/>
        </w:rPr>
        <w:t xml:space="preserve">. W razie zaistnienia sytuacji zamknięcia RODBUK </w:t>
      </w:r>
      <w:r w:rsidRPr="00B064FF">
        <w:rPr>
          <w:rFonts w:asciiTheme="minorHAnsi" w:hAnsiTheme="minorHAnsi" w:cstheme="minorHAnsi"/>
          <w:b/>
        </w:rPr>
        <w:t>współzałożyciele podejmą starania zmierzające do przeniesienia danych do innego repozytorium, z zachowaniem ciągłości poprawnego funkcjonowania nadanych numerów DOI.</w:t>
      </w:r>
      <w:r w:rsidRPr="00B064FF">
        <w:rPr>
          <w:rFonts w:asciiTheme="minorHAnsi" w:hAnsiTheme="minorHAnsi" w:cstheme="minorHAnsi"/>
        </w:rPr>
        <w:t> Osoby, które zdeponowały swoje dane badawcze w RODBUK, o tym fakcie zostaną poinformowane oficjalnym komunikatem. </w:t>
      </w:r>
    </w:p>
    <w:p w:rsidR="00B064FF" w:rsidRPr="00B064FF" w:rsidRDefault="00B064FF" w:rsidP="00B064FF">
      <w:pPr>
        <w:pStyle w:val="has-ast-global-color-0-color"/>
        <w:rPr>
          <w:rFonts w:asciiTheme="minorHAnsi" w:hAnsiTheme="minorHAnsi" w:cstheme="minorHAnsi"/>
        </w:rPr>
      </w:pPr>
      <w:r w:rsidRPr="00B064FF">
        <w:rPr>
          <w:rStyle w:val="Pogrubienie"/>
          <w:rFonts w:asciiTheme="minorHAnsi" w:hAnsiTheme="minorHAnsi" w:cstheme="minorHAnsi"/>
        </w:rPr>
        <w:t>Dostępność w czasie</w:t>
      </w:r>
    </w:p>
    <w:p w:rsidR="00B064FF" w:rsidRDefault="00B064FF" w:rsidP="00B064FF">
      <w:pPr>
        <w:pStyle w:val="NormalnyWeb"/>
        <w:rPr>
          <w:rFonts w:asciiTheme="minorHAnsi" w:hAnsiTheme="minorHAnsi" w:cstheme="minorHAnsi"/>
        </w:rPr>
      </w:pPr>
      <w:r w:rsidRPr="00B064FF">
        <w:rPr>
          <w:rFonts w:asciiTheme="minorHAnsi" w:hAnsiTheme="minorHAnsi" w:cstheme="minorHAnsi"/>
        </w:rPr>
        <w:t>Cyfronet AGH zobowiązuje się zapewnić gwarantowany czas dostępności do RODBUK na poziomie 99%.</w:t>
      </w:r>
    </w:p>
    <w:p w:rsidR="00075F05" w:rsidRPr="00B064FF" w:rsidRDefault="00075F05" w:rsidP="00B064FF">
      <w:pPr>
        <w:pStyle w:val="NormalnyWeb"/>
        <w:rPr>
          <w:rFonts w:asciiTheme="minorHAnsi" w:hAnsiTheme="minorHAnsi" w:cstheme="minorHAnsi"/>
        </w:rPr>
      </w:pPr>
    </w:p>
    <w:p w:rsidR="00075F05" w:rsidRDefault="00075F05" w:rsidP="00075F05">
      <w:pPr>
        <w:pStyle w:val="Nagwek1"/>
        <w:rPr>
          <w:rFonts w:asciiTheme="minorHAnsi" w:hAnsiTheme="minorHAnsi" w:cstheme="minorHAnsi"/>
          <w:sz w:val="32"/>
        </w:rPr>
      </w:pPr>
      <w:r w:rsidRPr="00F80E03">
        <w:rPr>
          <w:rFonts w:asciiTheme="minorHAnsi" w:hAnsiTheme="minorHAnsi" w:cstheme="minorHAnsi"/>
          <w:sz w:val="32"/>
        </w:rPr>
        <w:t>FAQ</w:t>
      </w:r>
    </w:p>
    <w:p w:rsidR="00075F05" w:rsidRDefault="00075F05" w:rsidP="00075F05">
      <w:hyperlink r:id="rId22" w:history="1">
        <w:r w:rsidRPr="00F31524">
          <w:rPr>
            <w:rStyle w:val="Hipercze"/>
          </w:rPr>
          <w:t>https://userguide.bg.agh.edu.pl/8-2/faq/</w:t>
        </w:r>
      </w:hyperlink>
      <w:r>
        <w:t xml:space="preserve"> </w:t>
      </w:r>
    </w:p>
    <w:p w:rsidR="0068275A" w:rsidRDefault="0068275A" w:rsidP="0068275A">
      <w:pPr>
        <w:pStyle w:val="Nagwek2"/>
        <w:rPr>
          <w:rStyle w:val="Pogrubienie"/>
          <w:b w:val="0"/>
          <w:bCs w:val="0"/>
        </w:rPr>
      </w:pPr>
    </w:p>
    <w:sectPr w:rsidR="00682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11BE7"/>
    <w:multiLevelType w:val="hybridMultilevel"/>
    <w:tmpl w:val="30A209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2988"/>
    <w:multiLevelType w:val="hybridMultilevel"/>
    <w:tmpl w:val="56F8FA0E"/>
    <w:lvl w:ilvl="0" w:tplc="71FAF6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B57C6"/>
    <w:multiLevelType w:val="hybridMultilevel"/>
    <w:tmpl w:val="3DAC799C"/>
    <w:lvl w:ilvl="0" w:tplc="71FAF6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53"/>
    <w:rsid w:val="00075F05"/>
    <w:rsid w:val="000B0C2E"/>
    <w:rsid w:val="00463A65"/>
    <w:rsid w:val="004C6D0E"/>
    <w:rsid w:val="00526253"/>
    <w:rsid w:val="0068275A"/>
    <w:rsid w:val="006C504C"/>
    <w:rsid w:val="00840775"/>
    <w:rsid w:val="008B527D"/>
    <w:rsid w:val="009D0E2D"/>
    <w:rsid w:val="00B064FF"/>
    <w:rsid w:val="00B52C33"/>
    <w:rsid w:val="00BD25EA"/>
    <w:rsid w:val="00D7323B"/>
    <w:rsid w:val="00F80E03"/>
    <w:rsid w:val="00F96A52"/>
    <w:rsid w:val="00FC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C484"/>
  <w15:chartTrackingRefBased/>
  <w15:docId w15:val="{B0437772-44FD-448D-B034-A52C20F4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73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26253"/>
    <w:rPr>
      <w:color w:val="0000FF"/>
      <w:u w:val="single"/>
    </w:rPr>
  </w:style>
  <w:style w:type="paragraph" w:customStyle="1" w:styleId="c0">
    <w:name w:val="c0"/>
    <w:basedOn w:val="Normalny"/>
    <w:rsid w:val="0052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4">
    <w:name w:val="c4"/>
    <w:basedOn w:val="Domylnaczcionkaakapitu"/>
    <w:rsid w:val="00526253"/>
  </w:style>
  <w:style w:type="character" w:customStyle="1" w:styleId="c1">
    <w:name w:val="c1"/>
    <w:basedOn w:val="Domylnaczcionkaakapitu"/>
    <w:rsid w:val="00526253"/>
  </w:style>
  <w:style w:type="character" w:customStyle="1" w:styleId="Nagwek1Znak">
    <w:name w:val="Nagłówek 1 Znak"/>
    <w:basedOn w:val="Domylnaczcionkaakapitu"/>
    <w:link w:val="Nagwek1"/>
    <w:uiPriority w:val="9"/>
    <w:rsid w:val="00D7323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73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D7323B"/>
    <w:rPr>
      <w:b/>
      <w:bCs/>
    </w:rPr>
  </w:style>
  <w:style w:type="paragraph" w:customStyle="1" w:styleId="uagb-faq-content">
    <w:name w:val="uagb-faq-content"/>
    <w:basedOn w:val="Normalny"/>
    <w:rsid w:val="00D7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8275A"/>
    <w:rPr>
      <w:i/>
      <w:iCs/>
    </w:rPr>
  </w:style>
  <w:style w:type="paragraph" w:styleId="Akapitzlist">
    <w:name w:val="List Paragraph"/>
    <w:basedOn w:val="Normalny"/>
    <w:uiPriority w:val="34"/>
    <w:qFormat/>
    <w:rsid w:val="00840775"/>
    <w:pPr>
      <w:ind w:left="720"/>
      <w:contextualSpacing/>
    </w:pPr>
  </w:style>
  <w:style w:type="paragraph" w:customStyle="1" w:styleId="has-ast-global-color-0-color">
    <w:name w:val="has-ast-global-color-0-color"/>
    <w:basedOn w:val="Normalny"/>
    <w:rsid w:val="00B0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0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fronet.pl/download/attachments/130288104/MEiN.pdf?version=5&amp;modificationDate=1673260705000&amp;api=v2" TargetMode="External"/><Relationship Id="rId13" Type="http://schemas.openxmlformats.org/officeDocument/2006/relationships/hyperlink" Target="https://github.com/gdcc/python-dvuploader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AML_2.0" TargetMode="External"/><Relationship Id="rId7" Type="http://schemas.openxmlformats.org/officeDocument/2006/relationships/hyperlink" Target="https://userguide.bg.agh.edu.pl/8-2/deponowanie-metadanych/" TargetMode="External"/><Relationship Id="rId12" Type="http://schemas.openxmlformats.org/officeDocument/2006/relationships/hyperlink" Target="https://libraries.ou.edu/content/how-make-readmetxt-file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userguide.bg.agh.edu.pl/wp-content/uploads/2024/01/Preferowane-formaty-plikow-pl.pdf" TargetMode="External"/><Relationship Id="rId20" Type="http://schemas.openxmlformats.org/officeDocument/2006/relationships/hyperlink" Target="https://openid.net/conn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gh.rodbuk.pl/pl/terms-of-use" TargetMode="External"/><Relationship Id="rId11" Type="http://schemas.openxmlformats.org/officeDocument/2006/relationships/hyperlink" Target="https://userguide.bg.agh.edu.pl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serguide.bg.agh.edu.pl/8-2/zakladanie-konta-logowanie/akademia-gorniczo-hutnicza/" TargetMode="External"/><Relationship Id="rId15" Type="http://schemas.openxmlformats.org/officeDocument/2006/relationships/hyperlink" Target="https://userguide.bg.agh.edu.pl/wp-content/uploads/2024/01/readme_template-2.tx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ublincore.org/" TargetMode="External"/><Relationship Id="rId19" Type="http://schemas.openxmlformats.org/officeDocument/2006/relationships/hyperlink" Target="https://userguide.bg.agh.edu.pl/8-2/wybor-licencj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yfronet.pl/download/attachments/130288104/OECD.pdf?version=1&amp;modificationDate=1673002878000&amp;api=v2" TargetMode="External"/><Relationship Id="rId14" Type="http://schemas.openxmlformats.org/officeDocument/2006/relationships/hyperlink" Target="https://pl.wikipedia.org/wiki/Format_otwarty" TargetMode="External"/><Relationship Id="rId22" Type="http://schemas.openxmlformats.org/officeDocument/2006/relationships/hyperlink" Target="https://userguide.bg.agh.edu.pl/8-2/faq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5</Pages>
  <Words>1542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Świerblewska</dc:creator>
  <cp:keywords/>
  <dc:description/>
  <cp:lastModifiedBy>Iwona Świerblewska</cp:lastModifiedBy>
  <cp:revision>13</cp:revision>
  <dcterms:created xsi:type="dcterms:W3CDTF">2024-11-06T14:25:00Z</dcterms:created>
  <dcterms:modified xsi:type="dcterms:W3CDTF">2024-11-07T15:31:00Z</dcterms:modified>
</cp:coreProperties>
</file>