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Sistema Web-</w:t>
      </w:r>
      <w:r>
        <w:rPr>
          <w:b/>
          <w:sz w:val="36"/>
          <w:szCs w:val="36"/>
        </w:rPr>
        <w:t xml:space="preserve"> Alfa Questions</w:t>
      </w:r>
    </w:p>
    <w:p>
      <w:pPr>
        <w:pStyle w:val="Normal1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Caso de Negócio</w:t>
      </w:r>
    </w:p>
    <w:p>
      <w:pPr>
        <w:pStyle w:val="Normal1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1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Versão &lt;1.0&gt;</w:t>
      </w:r>
    </w:p>
    <w:p>
      <w:pPr>
        <w:pStyle w:val="Normal1"/>
        <w:spacing w:lineRule="auto" w:line="240" w:before="24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spacing w:lineRule="auto" w:line="240" w:before="240" w:after="0"/>
        <w:jc w:val="center"/>
        <w:rPr/>
      </w:pPr>
      <w:r>
        <w:rPr>
          <w:b/>
          <w:sz w:val="36"/>
          <w:szCs w:val="36"/>
        </w:rPr>
        <w:t>Histórico da Revisão</w:t>
      </w:r>
    </w:p>
    <w:p>
      <w:pPr>
        <w:pStyle w:val="Normal1"/>
        <w:spacing w:lineRule="auto" w:line="240" w:before="100" w:after="10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492" w:type="dxa"/>
        <w:jc w:val="left"/>
        <w:tblInd w:w="5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305"/>
        <w:gridCol w:w="1155"/>
        <w:gridCol w:w="1695"/>
        <w:gridCol w:w="4336"/>
      </w:tblGrid>
      <w:tr>
        <w:trPr/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1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</w:tr>
      <w:tr>
        <w:trPr/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de Fevereiro de 2020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Thalita Vasconcelos – Programadora 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Timbó - DBA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Albuquerque – Gerente de Projeto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Maiara da Silva – Analista de Sistema 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Thallyso Matias - Designer</w:t>
            </w:r>
          </w:p>
          <w:p>
            <w:pPr>
              <w:pStyle w:val="Normal1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Nágela Sousa  - Testadora e Suporte</w:t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100" w:after="1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100" w:after="1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"Introduction"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 Introdução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</w:p>
    <w:p>
      <w:pPr>
        <w:pStyle w:val="Normal1"/>
        <w:ind w:left="440"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"Purpose"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1.1 Finalidade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ind w:left="440"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"Scope"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1.2 Escopo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ind w:left="440"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"Abbreviations"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1.3 Definições, Acrônimos e Abreviações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ind w:left="440"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"References"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1.4 Referências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ind w:left="440"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"Overview"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1.5 Visão Geral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"Description"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2. Descrição do Produto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"Context"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3. Contexto do Negócio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"Objectives"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4. Objetivos do Produto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"Forecast"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5. Estimativas Financeiras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</w:p>
    <w:p>
      <w:pPr>
        <w:pStyle w:val="Normal1"/>
        <w:spacing w:lineRule="auto" w:line="240" w:before="240" w:after="60"/>
        <w:ind w:right="720" w:hanging="0"/>
        <w:rPr/>
      </w:pPr>
      <w:r>
        <w:fldChar w:fldCharType="begin"/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instrText> HYPERLINK "http://www.wthreex.com/rup/webtmpl/templates/mgmnt/rup_buscs.htm" \l "Constraints"</w:instrTex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separate"/>
      </w:r>
      <w:r>
        <w:rPr>
          <w:rStyle w:val="ListLabel1"/>
          <w:rFonts w:eastAsia="Times New Roman" w:cs="Times New Roman" w:ascii="Times New Roman" w:hAnsi="Times New Roman"/>
          <w:color w:val="0000FF"/>
          <w:sz w:val="20"/>
          <w:szCs w:val="20"/>
          <w:u w:val="single"/>
        </w:rPr>
        <w:t>6. Restrições</w:t>
      </w:r>
      <w:r>
        <w:rPr>
          <w:rStyle w:val="ListLabel1"/>
          <w:sz w:val="20"/>
          <w:u w:val="single"/>
          <w:szCs w:val="20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 w:before="24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Caso de Negócio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1.1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>
      <w:pPr>
        <w:pStyle w:val="Normal1"/>
        <w:spacing w:lineRule="auto" w:line="240" w:before="120" w:after="6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Fornecer a justificativa para o projeto e estabelecer suas restrições econômicas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1.2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Escopo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Este documento refere-se ao sistema de Banco de Questões Alfa Questions produzido pela Equipe Alfa Questions. Este sistema permitirá aos clientes do banco de questões visualizar questões para o vestibular, e treinar corrigindo-as.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1.3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Definições, Acrônimos e Abreviações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Consulte o documento Glossário.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1.4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Referências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Nenhuma.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1.5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Este documento fornece uma justificativa econômica para o projeto de Banco de Questões Alfa Questions, descreve-o, seus objetivos, contexto em que se aplica e a expectativa de retorno.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Descrição do Produto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Nossa proposta é promover um banco de questões para estudantes em geral, que buscam aprovação no vestibular. Pode ser utilizado também por professores, em fins didáticos para provas e trabalhos.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Esse serviço será promovido através de um Banco de Questões que será exibido a partir de um notebook, com um design e um layout, onde os alunos e professores poderão ter acesso.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O objetivo é resolver o problema que falta de questões disponíveis na internet especificadas e organizadas por disciplinas e matérias. Facilitando o uso para todos que se interessarem.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Para maiores detalhes consulte o documento Visão.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i/>
          <w:sz w:val="24"/>
          <w:szCs w:val="24"/>
        </w:rPr>
        <w:t>3.</w:t>
      </w:r>
      <w:r>
        <w:rPr>
          <w:rFonts w:eastAsia="Times New Roman" w:cs="Times New Roman" w:ascii="Times New Roman" w:hAnsi="Times New Roman"/>
          <w:b/>
          <w:i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Contexto do Negócio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O Banco de Questões Alfa Questions é um produto comercial que atuará no mercado de serviços estudantis, fornecerá um serviço de estudo e aprofundamento, nas dependências do Banco de Questões Alfa Questions, e estará disponível através da internet para ser exibido em diversos aparelhos, distribuídos de forma a serem melhor visualizados pelos usuários, os clientes do banco.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Objetivos do Produto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Fazer a melhor divulgação das questões do Banco de Questões Alfa Questions;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Impulsionar as vendas proporcionando uma maior rotatividade dos produtos divulgando promoções;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Melhorar o entretenimento com um design divertido e de fácil entendimento;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Estimativas Financeiras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Estimamos que a divulgação do Banco de Questões Alfa Questions através do painel publicitário trará um crescente aumento no rendimento estudantil de alunos, justificando assim uma melhoria contínua no rendimento escolar.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Estimamos que o Banco de Questões Alfa Questions atua somente com 20% de sua capacidade total, que poderá ser alavancada continuamente, acrescentando-se mais questões no decorrer do tempo e da necessidade de atualização.</w:t>
      </w:r>
    </w:p>
    <w:p>
      <w:pPr>
        <w:pStyle w:val="Normal1"/>
        <w:spacing w:lineRule="auto" w:line="240" w:before="120" w:after="60"/>
        <w:ind w:left="1440" w:hanging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rFonts w:eastAsia="Times New Roman" w:cs="Times New Roman" w:ascii="Times New Roman" w:hAnsi="Times New Roman"/>
          <w:b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Restrições</w:t>
      </w:r>
    </w:p>
    <w:p>
      <w:pPr>
        <w:pStyle w:val="Normal1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>Nenhuma especificada.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3</Pages>
  <Words>454</Words>
  <Characters>2599</Characters>
  <CharactersWithSpaces>3244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2020-02-27T20:47:19Z</dcterms:modified>
  <cp:revision>1</cp:revision>
  <dc:subject/>
  <dc:title/>
</cp:coreProperties>
</file>