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1"/>
        <w:tblLayout w:type="fixed"/>
        <w:tblLook w:firstRow="1" w:lastRow="1" w:firstColumn="0" w:lastColumn="0" w:noHBand="0" w:noVBand="0" w:val="0020"/>
      </w:tblPr>
      <w:tblGrid>
        <w:gridCol w:w="2420"/>
        <w:gridCol w:w="1210"/>
        <w:gridCol w:w="231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Outcome: log sales. High competition equals one if the firm</w:t>
            </w:r>
            <w:r>
              <w:t xml:space="preserve"> </w:t>
            </w:r>
            <w:r>
              <w:t xml:space="preserve">reports more than five competitors and zero otherwise. Sales are</w:t>
            </w:r>
            <w:r>
              <w:t xml:space="preserve"> </w:t>
            </w:r>
            <w:r>
              <w:t xml:space="preserve">winsorised between 1,000 and 1,000,000. Sales per worker is</w:t>
            </w:r>
            <w:r>
              <w:t xml:space="preserve"> </w:t>
            </w:r>
            <w:r>
              <w:t xml:space="preserve">computed from winsorised sales and is not winsorised again. The</w:t>
            </w:r>
            <w:r>
              <w:t xml:space="preserve"> </w:t>
            </w:r>
            <w:r>
              <w:t xml:space="preserve">main table excludes informal competition to keep the main</w:t>
            </w:r>
            <w:r>
              <w:t xml:space="preserve"> </w:t>
            </w:r>
            <w:r>
              <w:t xml:space="preserve">specification focused on the direct high-competition measure.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2026-05-24T15:46:35Z</dcterms:created>
  <dcterms:modified xsi:type="dcterms:W3CDTF">2026-05-24T15:46:35Z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