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73"/>
        <w:tblLayout w:type="fixed"/>
        <w:tblLook w:firstRow="1" w:lastRow="1" w:firstColumn="0" w:lastColumn="0" w:noHBand="0" w:noVBand="0" w:val="0020"/>
      </w:tblPr>
      <w:tblGrid>
        <w:gridCol w:w="2205"/>
        <w:gridCol w:w="1503"/>
        <w:gridCol w:w="2305"/>
        <w:gridCol w:w="170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participation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multi_establishment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FE: country_id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Alternative outcomes. Export participation and price increase are</w:t>
            </w:r>
            <w:r>
              <w:t xml:space="preserve"> </w:t>
            </w:r>
            <w:r>
              <w:t xml:space="preserve">estimated as Linear Probability Models. Capacity utilization and</w:t>
            </w:r>
            <w:r>
              <w:t xml:space="preserve"> </w:t>
            </w:r>
            <w:r>
              <w:t xml:space="preserve">innovation are excluded from this table.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2026-05-24T15:46:42Z</dcterms:created>
  <dcterms:modified xsi:type="dcterms:W3CDTF">2026-05-24T15:46:42Z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