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9"/>
        <w:tblLayout w:type="fixed"/>
        <w:tblLook w:firstRow="1" w:lastRow="1" w:firstColumn="0" w:lastColumn="0" w:noHBand="0" w:noVBand="0" w:val="0020"/>
      </w:tblPr>
      <w:tblGrid>
        <w:gridCol w:w="2290"/>
        <w:gridCol w:w="1240"/>
        <w:gridCol w:w="1717"/>
        <w:gridCol w:w="1145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country_id^year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checks. Components model uses competition intensity, informal</w:t>
            </w:r>
            <w:r>
              <w:t xml:space="preserve"> </w:t>
            </w:r>
            <w:r>
              <w:t xml:space="preserve">competition and informal obstacle. Strict FE includes country-year and</w:t>
            </w:r>
            <w:r>
              <w:t xml:space="preserve"> </w:t>
            </w:r>
            <w:r>
              <w:t xml:space="preserve">industry fixed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2026-05-24T15:46:52Z</dcterms:created>
  <dcterms:modified xsi:type="dcterms:W3CDTF">2026-05-24T15:46:52Z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