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80"/>
        <w:tblLayout w:type="fixed"/>
        <w:tblLook w:firstRow="1" w:lastRow="1" w:firstColumn="0" w:lastColumn="0" w:noHBand="0" w:noVBand="0" w:val="0020"/>
      </w:tblPr>
      <w:tblGrid>
        <w:gridCol w:w="2217"/>
        <w:gridCol w:w="1330"/>
        <w:gridCol w:w="1203"/>
        <w:gridCol w:w="1647"/>
        <w:gridCol w:w="133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PCA index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 index +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 index full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PCA index terciles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competition_pressure_index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(0.047)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ln_employees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1.279***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 = 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 = Large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(0.396)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(0.261)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(0.261)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multi_establishment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0.268**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0.268**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firm_age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manager_experience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competition_pressure_tercile =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competition_pressure_tercile =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-0.044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(0.081)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Within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Within Adj.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FE: country_id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>
            <w:gridSpan w:val="5"/>
          </w:tcPr>
          <w:p>
            <w:pPr>
              <w:pStyle w:val="Compact"/>
              <w:numPr>
                <w:ilvl w:val="0"/>
                <w:numId w:val="1001"/>
              </w:numPr>
              <w:jc w:val="left"/>
            </w:pPr>
            <w:r>
              <w:t xml:space="preserve">p &lt; 0.1, * p &lt; 0.05, ** p &lt; 0.01, *** p &lt; 0.001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Outcome: log sales. Main explanatory variable is a PCA-based competition pressure index. Main models use country fixed</w:t>
            </w:r>
            <w:r>
              <w:t xml:space="preserve"> </w:t>
            </w:r>
            <w:r>
              <w:t xml:space="preserve">effects and sector controls. Survey weights applied. Standard errors clustered at country level.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2026-05-15T16:12:26Z</dcterms:created>
  <dcterms:modified xsi:type="dcterms:W3CDTF">2026-05-15T16:12:26Z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