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58"/>
        <w:tblLayout w:type="fixed"/>
        <w:tblLook w:firstRow="1" w:lastRow="1" w:firstColumn="0" w:lastColumn="0" w:noHBand="0" w:noVBand="0" w:val="0020"/>
      </w:tblPr>
      <w:tblGrid>
        <w:gridCol w:w="2166"/>
        <w:gridCol w:w="1120"/>
        <w:gridCol w:w="1718"/>
        <w:gridCol w:w="1718"/>
        <w:gridCol w:w="97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participation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competition_pressure_index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(1.432)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 =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(2.674)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 =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(4.641)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multi_establishment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FE: country_id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Alternative outcomes. Export participation and innovation are estimated as Linear Probability</w:t>
            </w:r>
            <w:r>
              <w:t xml:space="preserve"> </w:t>
            </w:r>
            <w:r>
              <w:t xml:space="preserve">Models. All models use country fixed effects and sector controls.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2026-05-15T16:12:33Z</dcterms:created>
  <dcterms:modified xsi:type="dcterms:W3CDTF">2026-05-15T16:12:33Z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