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A1. Distribution by number of competitors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03"/>
        <w:gridCol w:w="1084"/>
        <w:gridCol w:w="1451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competitors_cat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competitors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5.318840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competitor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3.953865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to five competitors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29.556487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five competitors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61.170809</w:t>
            </w:r>
          </w:p>
        </w:tc>
      </w:tr>
    </w:tbl>
    <w:p>
      <w:pPr>
        <w:pStyle w:val="Titre1"/>
      </w:pPr>
      <w:r>
        <w:t xml:space="preserve">Table A2. Informal competition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0"/>
        <w:gridCol w:w="961"/>
        <w:gridCol w:w="132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informal_competition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compete with informal firms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25.48231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Competes with informal firms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39.05738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35.46032</w:t>
            </w:r>
          </w:p>
        </w:tc>
      </w:tr>
    </w:tbl>
    <w:p>
      <w:pPr>
        <w:pStyle w:val="Titre1"/>
      </w:pPr>
      <w:r>
        <w:t xml:space="preserve">Table A3. Firm size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084"/>
        <w:gridCol w:w="1328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44.51313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35.80052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19.68635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2026-05-15T18:32:48Z</dcterms:modified>
  <cp:category/>
</cp:coreProperties>
</file>