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91"/>
        <w:tblLayout w:type="fixed"/>
        <w:tblLook w:firstRow="1" w:lastRow="1" w:firstColumn="0" w:lastColumn="0" w:noHBand="0" w:noVBand="0" w:val="0020"/>
      </w:tblPr>
      <w:tblGrid>
        <w:gridCol w:w="2717"/>
        <w:gridCol w:w="1387"/>
        <w:gridCol w:w="1271"/>
        <w:gridCol w:w="924"/>
        <w:gridCol w:w="14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Competition 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scale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0.233***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competitors_cat = One competitor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0.935*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competitors_cat = Two to five competitors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0.619*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competitors_cat = More than five competitors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0.620+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log sales per worker. Firm size categories are excluded from the main continuous specifications because log employment</w:t>
            </w:r>
            <w:r>
              <w:t xml:space="preserve"> </w:t>
            </w:r>
            <w:r>
              <w:t xml:space="preserve">already controls for scale. Survey weights applied. Standard 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2026-05-15T16:32:55Z</dcterms:created>
  <dcterms:modified xsi:type="dcterms:W3CDTF">2026-05-15T16:32:55Z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