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6"/>
        <w:tblLayout w:type="fixed"/>
        <w:tblLook w:firstRow="1" w:lastRow="1" w:firstColumn="0" w:lastColumn="0" w:noHBand="0" w:noVBand="0" w:val="0020"/>
      </w:tblPr>
      <w:tblGrid>
        <w:gridCol w:w="1652"/>
        <w:gridCol w:w="757"/>
        <w:gridCol w:w="1584"/>
        <w:gridCol w:w="1584"/>
        <w:gridCol w:w="895"/>
        <w:gridCol w:w="117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1.178**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Alternative outcomes. Export participation, innovation and price increase are estimated as Linear</w:t>
            </w:r>
            <w:r>
              <w:t xml:space="preserve"> </w:t>
            </w:r>
            <w:r>
              <w:t xml:space="preserve">Probability Models. Firm size categories are excluded; log employment controls for scale.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2026-05-15T16:33:03Z</dcterms:created>
  <dcterms:modified xsi:type="dcterms:W3CDTF">2026-05-15T16:33:03Z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