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9"/>
        <w:tblLayout w:type="fixed"/>
        <w:tblLook w:firstRow="1" w:lastRow="1" w:firstColumn="0" w:lastColumn="0" w:noHBand="0" w:noVBand="0" w:val="0020"/>
      </w:tblPr>
      <w:tblGrid>
        <w:gridCol w:w="2290"/>
        <w:gridCol w:w="1240"/>
        <w:gridCol w:w="1717"/>
        <w:gridCol w:w="1145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Country-year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country_id^year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Robustness checks. The strict FE model includes country-year and industry</w:t>
            </w:r>
            <w:r>
              <w:t xml:space="preserve"> </w:t>
            </w:r>
            <w:r>
              <w:t xml:space="preserve">fixed effects.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2026-05-15T16:33:09Z</dcterms:created>
  <dcterms:modified xsi:type="dcterms:W3CDTF">2026-05-15T16:33:09Z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