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9"/>
        <w:tblLayout w:type="fixed"/>
        <w:tblLook w:firstRow="1" w:lastRow="1" w:firstColumn="0" w:lastColumn="0" w:noHBand="0" w:noVBand="0" w:val="0020"/>
      </w:tblPr>
      <w:tblGrid>
        <w:gridCol w:w="2290"/>
        <w:gridCol w:w="1240"/>
        <w:gridCol w:w="1717"/>
        <w:gridCol w:w="1145"/>
        <w:gridCol w:w="12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Country-year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Unweighted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informal_obstacle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high_competition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country_id^year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industry_fe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Robustness checks. Components model uses the original competition variables.</w:t>
            </w:r>
            <w:r>
              <w:t xml:space="preserve"> </w:t>
            </w:r>
            <w:r>
              <w:t xml:space="preserve">Strict FE includes country-year and industry fixed effects.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2026-05-14T01:40:45Z</dcterms:created>
  <dcterms:modified xsi:type="dcterms:W3CDTF">2026-05-14T01:40:45Z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