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51"/>
        <w:tblLayout w:type="fixed"/>
        <w:tblLook w:firstRow="1" w:lastRow="1" w:firstColumn="0" w:lastColumn="0" w:noHBand="0" w:noVBand="0" w:val="0020"/>
      </w:tblPr>
      <w:tblGrid>
        <w:gridCol w:w="1803"/>
        <w:gridCol w:w="862"/>
        <w:gridCol w:w="1646"/>
        <w:gridCol w:w="1254"/>
        <w:gridCol w:w="211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informal competition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1.259***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0.279**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0.272**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informal_competition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Outcome: log sales. High competition equals one if the firm reports more than five competitors</w:t>
            </w:r>
            <w:r>
              <w:t xml:space="preserve"> </w:t>
            </w:r>
            <w:r>
              <w:t xml:space="preserve">and zero otherwise. Firm size categories are excluded; log employment controls for firm scale.</w:t>
            </w:r>
            <w:r>
              <w:t xml:space="preserve"> </w:t>
            </w:r>
            <w:r>
              <w:t xml:space="preserve">Main models use country fixed effects and sector controls. Survey weights applied. Standard</w:t>
            </w:r>
            <w:r>
              <w:t xml:space="preserve"> </w:t>
            </w:r>
            <w:r>
              <w:t xml:space="preserve">errors clustered at country level.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2026-05-24T12:13:00Z</dcterms:created>
  <dcterms:modified xsi:type="dcterms:W3CDTF">2026-05-24T12:13:00Z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