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A1. Competition pressure terciles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961"/>
        <w:gridCol w:w="1328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competition_pressure_tercile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33.04847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30.88270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36.06884</w:t>
            </w:r>
          </w:p>
        </w:tc>
      </w:tr>
    </w:tbl>
    <w:p>
      <w:pPr>
        <w:pStyle w:val="Titre1"/>
      </w:pPr>
      <w:r>
        <w:t xml:space="preserve">Table A2. Number of competitors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961"/>
        <w:gridCol w:w="145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competitors_cat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competitors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4.870054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competitor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3.968626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to five competitors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30.461250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five competitors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60.700070</w:t>
            </w:r>
          </w:p>
        </w:tc>
      </w:tr>
    </w:tbl>
    <w:p>
      <w:pPr>
        <w:pStyle w:val="Titre1"/>
      </w:pPr>
      <w:r>
        <w:t xml:space="preserve">Table A3. Informal competition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0"/>
        <w:gridCol w:w="961"/>
        <w:gridCol w:w="132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informal_competition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 not compete with informal firms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38.49216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Competes with informal firms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61.50784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2026-05-14T02:58:34Z</dcterms:modified>
  <cp:category/>
</cp:coreProperties>
</file>