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4"/>
        <w:tblLayout w:type="fixed"/>
        <w:tblLook w:firstRow="1" w:lastRow="1" w:firstColumn="0" w:lastColumn="0" w:noHBand="0" w:noVBand="0" w:val="0020"/>
      </w:tblPr>
      <w:tblGrid>
        <w:gridCol w:w="2329"/>
        <w:gridCol w:w="1131"/>
        <w:gridCol w:w="1663"/>
        <w:gridCol w:w="146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+ scale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0.251**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 per worker. Main models use country fixed effects and sector controls. Firm size categories</w:t>
            </w:r>
            <w:r>
              <w:t xml:space="preserve"> </w:t>
            </w:r>
            <w:r>
              <w:t xml:space="preserve">are excluded because log employment already captures scale. Survey weights applied. Standard errors clustered at</w:t>
            </w:r>
            <w:r>
              <w:t xml:space="preserve"> </w:t>
            </w:r>
            <w:r>
              <w:t xml:space="preserve">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2026-05-14T00:20:31Z</dcterms:created>
  <dcterms:modified xsi:type="dcterms:W3CDTF">2026-05-14T00:20:31Z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