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44"/>
        <w:tblLayout w:type="fixed"/>
        <w:tblLook w:firstRow="1" w:lastRow="1" w:firstColumn="0" w:lastColumn="0" w:noHBand="0" w:noVBand="0" w:val="0020"/>
      </w:tblPr>
      <w:tblGrid>
        <w:gridCol w:w="2908"/>
        <w:gridCol w:w="928"/>
        <w:gridCol w:w="928"/>
        <w:gridCol w:w="1237"/>
        <w:gridCol w:w="618"/>
        <w:gridCol w:w="105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LPM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LPM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LPM full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competitors_cat = One 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competitors_cat = Two to five competitors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competitors_cat = More than five competitors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1.090000e-01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(1.190000e-01)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3.700000e-02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(1.270000e-01)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Medium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Large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0.155*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9.540000e-01*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(4.430000e-01)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-0.003**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0.002*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-3.100000e-02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(3.670000e-01)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i(competitors_cat)No competitors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1.780000e-01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(2.860000e-01)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i(competitors_cat)One competitor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5.870000e-01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(4.940000e-01)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i(competitors_cat)Two to five competitors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3.900000e-02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(1.660000e-01)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size_catMedium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3.040000e-01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(2.350000e-01)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size_catLarge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1.770000e-01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(4.370000e-01)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industry_fe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Outcome: price increase. Survey weights applied. Standard errors clustered at country level. Country-year and industry</w:t>
            </w:r>
            <w:r>
              <w:t xml:space="preserve"> </w:t>
            </w:r>
            <w:r>
              <w:t xml:space="preserve">fixed effects included but omitted from the table.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2026-05-13T22:37:09Z</dcterms:created>
  <dcterms:modified xsi:type="dcterms:W3CDTF">2026-05-13T22:37:09Z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