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4"/>
        <w:tblLayout w:type="fixed"/>
        <w:tblLook w:firstRow="1" w:lastRow="1" w:firstColumn="0" w:lastColumn="0" w:noHBand="0" w:noVBand="0" w:val="0020"/>
      </w:tblPr>
      <w:tblGrid>
        <w:gridCol w:w="2520"/>
        <w:gridCol w:w="1224"/>
        <w:gridCol w:w="1152"/>
        <w:gridCol w:w="1584"/>
        <w:gridCol w:w="122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+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terciles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3-year log sales growth. Main models use country fixed effects and sector controls. Survey</w:t>
            </w:r>
            <w:r>
              <w:t xml:space="preserve"> </w:t>
            </w:r>
            <w:r>
              <w:t xml:space="preserve">weights applied. Standard 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2026-05-14T00:58:46Z</dcterms:created>
  <dcterms:modified xsi:type="dcterms:W3CDTF">2026-05-14T00:58:46Z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