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2"/>
        <w:tblLayout w:type="fixed"/>
        <w:tblLook w:firstRow="1" w:lastRow="1" w:firstColumn="0" w:lastColumn="0" w:noHBand="0" w:noVBand="0" w:val="0020"/>
      </w:tblPr>
      <w:tblGrid>
        <w:gridCol w:w="2543"/>
        <w:gridCol w:w="1235"/>
        <w:gridCol w:w="1089"/>
        <w:gridCol w:w="1598"/>
        <w:gridCol w:w="123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Index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+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full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terciles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1.385***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Large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0.197*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-0.107*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Outcome: log sales. Competition is measured using a PCA-based competition pressure index. Survey</w:t>
            </w:r>
            <w:r>
              <w:t xml:space="preserve"> </w:t>
            </w:r>
            <w:r>
              <w:t xml:space="preserve">weights applied. Standard errors clustered at country level. Country-year and industry fixed effects</w:t>
            </w:r>
            <w:r>
              <w:t xml:space="preserve"> </w:t>
            </w:r>
            <w:r>
              <w:t xml:space="preserve">included but omitted from the table.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2026-05-13T23:24:32Z</dcterms:created>
  <dcterms:modified xsi:type="dcterms:W3CDTF">2026-05-13T23:24:32Z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