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66"/>
        <w:tblLayout w:type="fixed"/>
        <w:tblLook w:firstRow="1" w:lastRow="1" w:firstColumn="0" w:lastColumn="0" w:noHBand="0" w:noVBand="0" w:val="0020"/>
      </w:tblPr>
      <w:tblGrid>
        <w:gridCol w:w="2050"/>
        <w:gridCol w:w="1343"/>
        <w:gridCol w:w="2121"/>
        <w:gridCol w:w="1202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Raw productivity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Country-sector productivity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Relative sales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competition_pressure_index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(0.051)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(0.071)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ln_employees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0.205***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1.062***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(0.061)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multi_establishment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0.220*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0.055*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(0.093)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(0.063)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(0.136)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firm_age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manager_experience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-0.006*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Adj.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Within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Within Adj.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FE: country_id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</w:tr>
      <w:tr>
        <w:tc>
          <w:tcPr>
            <w:gridSpan w:val="5"/>
          </w:tcPr>
          <w:p>
            <w:pPr>
              <w:pStyle w:val="Compact"/>
              <w:numPr>
                <w:ilvl w:val="0"/>
                <w:numId w:val="1001"/>
              </w:numPr>
              <w:jc w:val="left"/>
            </w:pPr>
            <w:r>
              <w:t xml:space="preserve">p &lt; 0.1, * p &lt; 0.05, ** p &lt; 0.01, *** p &lt; 0.001</w:t>
            </w:r>
          </w:p>
        </w:tc>
      </w:tr>
      <w:tr>
        <w:tc>
          <w:tcPr>
            <w:gridSpan w:val="5"/>
          </w:tcPr>
          <w:p>
            <w:pPr>
              <w:pStyle w:val="Compact"/>
              <w:jc w:val="left"/>
            </w:pPr>
            <w:r>
              <w:t xml:space="preserve">Robustness checks using alternative performance measures. Main preferred outcome remains relative</w:t>
            </w:r>
            <w:r>
              <w:t xml:space="preserve"> </w:t>
            </w:r>
            <w:r>
              <w:t xml:space="preserve">productivity.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2026-05-14T00:42:01Z</dcterms:created>
  <dcterms:modified xsi:type="dcterms:W3CDTF">2026-05-14T00:42:01Z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