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9"/>
        <w:tblLayout w:type="fixed"/>
        <w:tblLook w:firstRow="1" w:lastRow="1" w:firstColumn="0" w:lastColumn="0" w:noHBand="0" w:noVBand="0" w:val="0020"/>
      </w:tblPr>
      <w:tblGrid>
        <w:gridCol w:w="1489"/>
        <w:gridCol w:w="1015"/>
        <w:gridCol w:w="1556"/>
        <w:gridCol w:w="1556"/>
        <w:gridCol w:w="880"/>
        <w:gridCol w:w="11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(2.596)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(4.388)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outcomes. Export participation, innovation and price increase are estimated as Linear Probability</w:t>
            </w:r>
            <w:r>
              <w:t xml:space="preserve"> </w:t>
            </w:r>
            <w:r>
              <w:t xml:space="preserve">Models. Price increase uses a smaller outcome-specific sample.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2026-05-14T01:23:17Z</dcterms:created>
  <dcterms:modified xsi:type="dcterms:W3CDTF">2026-05-14T01:23:17Z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