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10"/>
        <w:tblLayout w:type="fixed"/>
        <w:tblLook w:firstRow="1" w:lastRow="1" w:firstColumn="0" w:lastColumn="0" w:noHBand="0" w:noVBand="0" w:val="0020"/>
      </w:tblPr>
      <w:tblGrid>
        <w:gridCol w:w="2105"/>
        <w:gridCol w:w="1303"/>
        <w:gridCol w:w="1303"/>
        <w:gridCol w:w="1102"/>
        <w:gridCol w:w="180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Incentives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 PBC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PBC environment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manager_experience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industry_fe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These models test whether ownership concentration is associated with</w:t>
            </w:r>
            <w:r>
              <w:t xml:space="preserve"> </w:t>
            </w:r>
            <w:r>
              <w:t xml:space="preserve">proposed governance mechanisms.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Monitoring and incentives are binary variables estimated using linear</w:t>
            </w:r>
            <w:r>
              <w:t xml:space="preserve"> </w:t>
            </w:r>
            <w:r>
              <w:t xml:space="preserve">probability models.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All models include country-year and industry fixed effects.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Standard errors are clustered at the country level.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2026-05-19T22:44:20Z</dcterms:created>
  <dcterms:modified xsi:type="dcterms:W3CDTF">2026-05-19T22:44:20Z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