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583"/>
        <w:tblLayout w:type="fixed"/>
        <w:tblLook w:firstRow="1" w:lastRow="1" w:firstColumn="0" w:lastColumn="0" w:noHBand="0" w:noVBand="0" w:val="0020"/>
      </w:tblPr>
      <w:tblGrid>
        <w:gridCol w:w="3300"/>
        <w:gridCol w:w="1210"/>
        <w:gridCol w:w="1320"/>
        <w:gridCol w:w="143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-0.038**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-0.023**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-0.019**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1.090***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1.059***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1.058***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(0.048)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foreign_ownership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0.131**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0.131***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incentives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0.237***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pbc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1.051***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(0.222)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ownership_pbc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-0.113***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informal_payments_dummy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0.690***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(0.080)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ownership_informal_payments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-0.077***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ownership_corruption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survey_year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4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Dependent variable: log sales.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Ownership is measured in 10 percentage points.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PBC is constructed using low reliability of reported figures</w:t>
            </w:r>
            <w:r>
              <w:t xml:space="preserve"> </w:t>
            </w:r>
            <w:r>
              <w:t xml:space="preserve">and informal payments.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All regressions include country, survey-year, and industry</w:t>
            </w:r>
            <w:r>
              <w:t xml:space="preserve"> </w:t>
            </w:r>
            <w:r>
              <w:t xml:space="preserve">fixed effects.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Standard errors are clustered at the country level.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left"/>
            </w:pPr>
            <w:r>
              <w:t xml:space="preserve">Results are interpreted as conditional associations, not</w:t>
            </w:r>
            <w:r>
              <w:t xml:space="preserve"> </w:t>
            </w:r>
            <w:r>
              <w:t xml:space="preserve">causal estimates.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2026-05-19T23:19:19Z</dcterms:created>
  <dcterms:modified xsi:type="dcterms:W3CDTF">2026-05-19T23:19:19Z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