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1B5A5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b/>
          <w:bCs w:val="0"/>
          <w:sz w:val="24"/>
          <w:szCs w:val="24"/>
          <w:lang w:val="en-US" w:eastAsia="zh-CN"/>
        </w:rPr>
      </w:pPr>
      <w:r>
        <w:rPr>
          <w:rFonts w:ascii="宋体" w:hAnsi="宋体" w:eastAsia="宋体" w:cs="宋体"/>
          <w:b/>
          <w:bCs w:val="0"/>
          <w:sz w:val="24"/>
          <w:szCs w:val="24"/>
          <w:lang w:val="en-US" w:eastAsia="en-US" w:bidi="ar-SA"/>
        </w:rPr>
        <w:t>AI推理子系统平台</w:t>
      </w:r>
    </w:p>
    <w:tbl>
      <w:tblPr>
        <w:tblStyle w:val="6"/>
        <w:tblW w:w="499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3779"/>
        <w:gridCol w:w="3502"/>
        <w:gridCol w:w="1340"/>
      </w:tblGrid>
      <w:tr w14:paraId="3517F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jc w:val="center"/>
        </w:trPr>
        <w:tc>
          <w:tcPr>
            <w:tcW w:w="630" w:type="pct"/>
            <w:shd w:val="clear" w:color="auto" w:fill="BEBEBE"/>
            <w:noWrap w:val="0"/>
            <w:vAlign w:val="center"/>
          </w:tcPr>
          <w:p w14:paraId="17FB4911">
            <w:pPr>
              <w:snapToGrid w:val="0"/>
              <w:spacing w:line="240" w:lineRule="auto"/>
              <w:ind w:left="0" w:leftChars="0" w:right="0" w:rightChars="0" w:firstLine="0" w:firstLineChars="0"/>
              <w:jc w:val="center"/>
              <w:rPr>
                <w:rFonts w:hint="eastAsia" w:ascii="微软雅黑" w:hAnsi="微软雅黑" w:eastAsia="微软雅黑" w:cs="微软雅黑"/>
                <w:b/>
                <w:bCs/>
                <w:sz w:val="21"/>
                <w:szCs w:val="21"/>
                <w:vertAlign w:val="baseline"/>
                <w:lang w:val="en-US" w:eastAsia="zh-CN"/>
              </w:rPr>
            </w:pPr>
            <w:r>
              <w:rPr>
                <w:rFonts w:hint="eastAsia" w:ascii="微软雅黑" w:hAnsi="微软雅黑" w:eastAsia="微软雅黑" w:cs="微软雅黑"/>
                <w:b/>
                <w:bCs/>
                <w:sz w:val="21"/>
                <w:szCs w:val="21"/>
                <w:vertAlign w:val="baseline"/>
                <w:lang w:val="en-US" w:eastAsia="zh-CN"/>
              </w:rPr>
              <w:t>模块</w:t>
            </w:r>
          </w:p>
        </w:tc>
        <w:tc>
          <w:tcPr>
            <w:tcW w:w="1915" w:type="pct"/>
            <w:shd w:val="clear" w:color="auto" w:fill="BEBEBE"/>
            <w:noWrap w:val="0"/>
            <w:vAlign w:val="center"/>
          </w:tcPr>
          <w:p w14:paraId="416C9C75">
            <w:pPr>
              <w:snapToGrid w:val="0"/>
              <w:spacing w:line="240" w:lineRule="auto"/>
              <w:ind w:left="0" w:leftChars="0" w:right="0" w:rightChars="0" w:firstLine="0" w:firstLineChars="0"/>
              <w:jc w:val="center"/>
              <w:rPr>
                <w:rFonts w:hint="eastAsia" w:ascii="微软雅黑" w:hAnsi="微软雅黑" w:eastAsia="微软雅黑" w:cs="微软雅黑"/>
                <w:b/>
                <w:bCs/>
                <w:sz w:val="21"/>
                <w:szCs w:val="21"/>
                <w:vertAlign w:val="baseline"/>
                <w:lang w:val="en-US" w:eastAsia="zh-CN"/>
              </w:rPr>
            </w:pPr>
            <w:r>
              <w:rPr>
                <w:rFonts w:hint="eastAsia" w:ascii="微软雅黑" w:hAnsi="微软雅黑" w:eastAsia="微软雅黑" w:cs="微软雅黑"/>
                <w:b/>
                <w:bCs/>
                <w:sz w:val="21"/>
                <w:szCs w:val="21"/>
                <w:vertAlign w:val="baseline"/>
                <w:lang w:val="en-US" w:eastAsia="zh-CN"/>
              </w:rPr>
              <w:t>指标要求</w:t>
            </w:r>
          </w:p>
        </w:tc>
        <w:tc>
          <w:tcPr>
            <w:tcW w:w="1775" w:type="pct"/>
            <w:shd w:val="clear" w:color="auto" w:fill="BEBEBE"/>
            <w:noWrap w:val="0"/>
            <w:vAlign w:val="center"/>
          </w:tcPr>
          <w:p w14:paraId="55B84719">
            <w:pPr>
              <w:snapToGrid w:val="0"/>
              <w:spacing w:line="240" w:lineRule="auto"/>
              <w:ind w:left="0" w:leftChars="0" w:right="0" w:rightChars="0" w:firstLine="0" w:firstLineChars="0"/>
              <w:jc w:val="center"/>
              <w:rPr>
                <w:rFonts w:hint="eastAsia" w:ascii="微软雅黑" w:hAnsi="微软雅黑" w:eastAsia="微软雅黑" w:cs="微软雅黑"/>
                <w:b/>
                <w:bCs/>
                <w:sz w:val="21"/>
                <w:szCs w:val="21"/>
                <w:vertAlign w:val="baseline"/>
                <w:lang w:val="en-US" w:eastAsia="zh-CN"/>
              </w:rPr>
            </w:pPr>
            <w:r>
              <w:rPr>
                <w:rFonts w:hint="eastAsia" w:ascii="微软雅黑" w:hAnsi="微软雅黑" w:eastAsia="微软雅黑" w:cs="微软雅黑"/>
                <w:b/>
                <w:bCs/>
                <w:sz w:val="21"/>
                <w:szCs w:val="21"/>
                <w:vertAlign w:val="baseline"/>
                <w:lang w:val="en-US" w:eastAsia="zh-CN"/>
              </w:rPr>
              <w:t>供应配置</w:t>
            </w:r>
          </w:p>
        </w:tc>
        <w:tc>
          <w:tcPr>
            <w:tcW w:w="679" w:type="pct"/>
            <w:shd w:val="clear" w:color="auto" w:fill="BEBEBE"/>
            <w:noWrap w:val="0"/>
            <w:vAlign w:val="center"/>
          </w:tcPr>
          <w:p w14:paraId="64001184">
            <w:pPr>
              <w:snapToGrid w:val="0"/>
              <w:spacing w:line="240" w:lineRule="auto"/>
              <w:ind w:left="0" w:leftChars="0" w:right="0" w:rightChars="0" w:firstLine="0" w:firstLineChars="0"/>
              <w:jc w:val="center"/>
              <w:rPr>
                <w:rFonts w:hint="eastAsia" w:ascii="微软雅黑" w:hAnsi="微软雅黑" w:eastAsia="微软雅黑" w:cs="微软雅黑"/>
                <w:b/>
                <w:bCs/>
                <w:sz w:val="21"/>
                <w:szCs w:val="21"/>
                <w:vertAlign w:val="baseline"/>
                <w:lang w:val="en-US" w:eastAsia="zh-CN"/>
              </w:rPr>
            </w:pPr>
            <w:r>
              <w:rPr>
                <w:rFonts w:hint="eastAsia" w:ascii="微软雅黑" w:hAnsi="微软雅黑" w:eastAsia="微软雅黑" w:cs="微软雅黑"/>
                <w:b/>
                <w:bCs/>
                <w:sz w:val="21"/>
                <w:szCs w:val="21"/>
                <w:vertAlign w:val="baseline"/>
                <w:lang w:val="en-US" w:eastAsia="zh-CN"/>
              </w:rPr>
              <w:t>偏离情况</w:t>
            </w:r>
          </w:p>
        </w:tc>
      </w:tr>
      <w:tr w14:paraId="798CE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3" w:hRule="atLeast"/>
          <w:jc w:val="center"/>
        </w:trPr>
        <w:tc>
          <w:tcPr>
            <w:tcW w:w="630" w:type="pct"/>
            <w:noWrap w:val="0"/>
            <w:vAlign w:val="center"/>
          </w:tcPr>
          <w:p w14:paraId="60A7F0C4">
            <w:pPr>
              <w:keepNext w:val="0"/>
              <w:keepLines w:val="0"/>
              <w:widowControl/>
              <w:suppressLineNumbers w:val="0"/>
              <w:spacing w:line="240" w:lineRule="auto"/>
              <w:jc w:val="center"/>
              <w:textAlignment w:val="center"/>
              <w:rPr>
                <w:rFonts w:hint="default" w:ascii="宋体" w:hAnsi="宋体" w:eastAsia="宋体" w:cs="宋体"/>
                <w:bCs/>
                <w:sz w:val="24"/>
                <w:szCs w:val="24"/>
                <w:lang w:val="en-US" w:eastAsia="zh-CN" w:bidi="ar-SA"/>
              </w:rPr>
            </w:pPr>
            <w:r>
              <w:rPr>
                <w:rFonts w:hint="eastAsia" w:ascii="宋体" w:hAnsi="宋体" w:cs="宋体"/>
                <w:bCs/>
                <w:sz w:val="24"/>
                <w:szCs w:val="24"/>
                <w:lang w:val="en-US" w:eastAsia="zh-CN" w:bidi="ar-SA"/>
              </w:rPr>
              <w:t>软件部分</w:t>
            </w:r>
          </w:p>
        </w:tc>
        <w:tc>
          <w:tcPr>
            <w:tcW w:w="1915" w:type="pct"/>
            <w:noWrap w:val="0"/>
            <w:vAlign w:val="center"/>
          </w:tcPr>
          <w:p w14:paraId="1D137B0A">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en-US" w:bidi="ar-SA"/>
              </w:rPr>
              <w:t>▲1、提供服务器面板判断硬件故障功能，包括但不限于系统/内存/电源/风扇/温度/网络等关键部件的故障诊断功能 ；</w:t>
            </w:r>
          </w:p>
          <w:p w14:paraId="336B9695">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2</w:t>
            </w:r>
            <w:r>
              <w:rPr>
                <w:rFonts w:hint="eastAsia" w:ascii="宋体" w:hAnsi="宋体" w:eastAsia="宋体" w:cs="宋体"/>
                <w:bCs/>
                <w:sz w:val="24"/>
                <w:szCs w:val="24"/>
                <w:lang w:val="en-US" w:eastAsia="en-US" w:bidi="ar-SA"/>
              </w:rPr>
              <w:t>、支持图形化带外管理界面，通过管理界面集中展示帐号和应用服务等安全配置状态，及时识别安全配置风险。</w:t>
            </w:r>
          </w:p>
          <w:p w14:paraId="5E37DF76">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en-US" w:bidi="ar-SA"/>
              </w:rPr>
              <w:t>▲</w:t>
            </w:r>
            <w:r>
              <w:rPr>
                <w:rFonts w:hint="eastAsia" w:ascii="宋体" w:hAnsi="宋体" w:eastAsia="宋体" w:cs="宋体"/>
                <w:bCs/>
                <w:sz w:val="24"/>
                <w:szCs w:val="24"/>
                <w:lang w:val="en-US" w:eastAsia="zh-CN" w:bidi="ar-SA"/>
              </w:rPr>
              <w:t>3</w:t>
            </w:r>
            <w:r>
              <w:rPr>
                <w:rFonts w:hint="eastAsia" w:ascii="宋体" w:hAnsi="宋体" w:eastAsia="宋体" w:cs="宋体"/>
                <w:bCs/>
                <w:sz w:val="24"/>
                <w:szCs w:val="24"/>
                <w:lang w:val="en-US" w:eastAsia="en-US" w:bidi="ar-SA"/>
              </w:rPr>
              <w:t>、集成BMC管理模块，支持IPMI、KVM over IP、虚拟媒体等功能；支持服务器硬件运行监控 ，包括CPU温度、内存使用率、；出入风口温度；风扇转速及风扇占空比。</w:t>
            </w:r>
          </w:p>
          <w:p w14:paraId="78492C7B">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4</w:t>
            </w:r>
            <w:r>
              <w:rPr>
                <w:rFonts w:hint="eastAsia" w:ascii="宋体" w:hAnsi="宋体" w:eastAsia="宋体" w:cs="宋体"/>
                <w:bCs/>
                <w:sz w:val="24"/>
                <w:szCs w:val="24"/>
                <w:lang w:val="en-US" w:eastAsia="en-US" w:bidi="ar-SA"/>
              </w:rPr>
              <w:t>、服务器支持性能监控功能，包括CPU 利用率及使用明细；分区使用率及分区未使用量；网络发送速率、接收速率等，运行时长、系统进程数等。</w:t>
            </w:r>
          </w:p>
          <w:p w14:paraId="6A5D04CE">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5</w:t>
            </w:r>
            <w:r>
              <w:rPr>
                <w:rFonts w:hint="eastAsia" w:ascii="宋体" w:hAnsi="宋体" w:eastAsia="宋体" w:cs="宋体"/>
                <w:bCs/>
                <w:sz w:val="24"/>
                <w:szCs w:val="24"/>
                <w:lang w:val="en-US" w:eastAsia="en-US" w:bidi="ar-SA"/>
              </w:rPr>
              <w:t>、BIOS支持在启动过程中将所有自检码以明文化的形式展示在界面中，方便快速定位POST阶段故障。</w:t>
            </w:r>
          </w:p>
          <w:p w14:paraId="4EB043D5">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6</w:t>
            </w:r>
            <w:r>
              <w:rPr>
                <w:rFonts w:hint="eastAsia" w:ascii="宋体" w:hAnsi="宋体" w:eastAsia="宋体" w:cs="宋体"/>
                <w:bCs/>
                <w:sz w:val="24"/>
                <w:szCs w:val="24"/>
                <w:lang w:val="en-US" w:eastAsia="en-US" w:bidi="ar-SA"/>
              </w:rPr>
              <w:t>、支持服务器主机安全系统加固，可实现安全加固、增强型身份认证、服务完整性检测、系统配置文件防篡改机制等功能</w:t>
            </w:r>
          </w:p>
          <w:p w14:paraId="57D162A4">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en-US" w:bidi="ar-SA"/>
              </w:rPr>
              <w:t>▲</w:t>
            </w:r>
            <w:r>
              <w:rPr>
                <w:rFonts w:hint="eastAsia" w:ascii="宋体" w:hAnsi="宋体" w:eastAsia="宋体" w:cs="宋体"/>
                <w:bCs/>
                <w:sz w:val="24"/>
                <w:szCs w:val="24"/>
                <w:lang w:val="en-US" w:eastAsia="zh-CN" w:bidi="ar-SA"/>
              </w:rPr>
              <w:t>7</w:t>
            </w:r>
            <w:r>
              <w:rPr>
                <w:rFonts w:hint="eastAsia" w:ascii="宋体" w:hAnsi="宋体" w:eastAsia="宋体" w:cs="宋体"/>
                <w:bCs/>
                <w:sz w:val="24"/>
                <w:szCs w:val="24"/>
                <w:lang w:val="en-US" w:eastAsia="en-US" w:bidi="ar-SA"/>
              </w:rPr>
              <w:t>、所投服务器应具备运行行业主流训练框架（如PyTorch、TensorFlow、DeepSpeed等）及主流大模型（如LLaMA、Qwen、DeepSeek等）的能力，支持大模型的训练与微调，具备参数微调训练能力。投标人应提供承诺函，承诺在中标后配合采购人完成上述软件环境的部署和验证。</w:t>
            </w:r>
          </w:p>
          <w:p w14:paraId="768F8524">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en-US" w:bidi="ar-SA"/>
              </w:rPr>
              <w:t>平台管理系统功能：</w:t>
            </w:r>
          </w:p>
          <w:p w14:paraId="67AB3017">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8</w:t>
            </w:r>
            <w:r>
              <w:rPr>
                <w:rFonts w:hint="eastAsia" w:ascii="宋体" w:hAnsi="宋体" w:eastAsia="宋体" w:cs="宋体"/>
                <w:bCs/>
                <w:sz w:val="24"/>
                <w:szCs w:val="24"/>
                <w:lang w:val="en-US" w:eastAsia="en-US" w:bidi="ar-SA"/>
              </w:rPr>
              <w:t>、针对人工智能领域的特定需求，提供GPU等异构计算资源管理接口，实现对CPU、内存、磁盘等资源的虚拟化和统一管理，支持以直通方式挂载GPU等异构计算资源。（可通过硬件自带的BMC/IPMI功能、开源调度系统（如Slurm）或第三方商业软件实现，不限定具体产品。投标人应说明其实现</w:t>
            </w:r>
            <w:bookmarkStart w:id="0" w:name="_GoBack"/>
            <w:bookmarkEnd w:id="0"/>
            <w:r>
              <w:rPr>
                <w:rFonts w:hint="eastAsia" w:ascii="宋体" w:hAnsi="宋体" w:eastAsia="宋体" w:cs="宋体"/>
                <w:bCs/>
                <w:sz w:val="24"/>
                <w:szCs w:val="24"/>
                <w:lang w:val="en-US" w:eastAsia="en-US" w:bidi="ar-SA"/>
              </w:rPr>
              <w:t>方式，中标后配合采购人完成部署。）</w:t>
            </w:r>
          </w:p>
          <w:p w14:paraId="0B525610">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9</w:t>
            </w:r>
            <w:r>
              <w:rPr>
                <w:rFonts w:hint="eastAsia" w:ascii="宋体" w:hAnsi="宋体" w:eastAsia="宋体" w:cs="宋体"/>
                <w:bCs/>
                <w:sz w:val="24"/>
                <w:szCs w:val="24"/>
                <w:lang w:val="en-US" w:eastAsia="en-US" w:bidi="ar-SA"/>
              </w:rPr>
              <w:t>、任务时长功能：限制用户单任务使用时间，可对用户，用户组，全局进行任务使用时间限制。（可通过硬件自带的BMC/IPMI功能、开源调度系统（如Slurm）或第三方商业软件实现，不限定具体产品。投标人应说明其实现方式，中标后配合采购人完成部署。）</w:t>
            </w:r>
          </w:p>
          <w:p w14:paraId="2327FB16">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10</w:t>
            </w:r>
            <w:r>
              <w:rPr>
                <w:rFonts w:hint="eastAsia" w:ascii="宋体" w:hAnsi="宋体" w:eastAsia="宋体" w:cs="宋体"/>
                <w:bCs/>
                <w:sz w:val="24"/>
                <w:szCs w:val="24"/>
                <w:lang w:val="en-US" w:eastAsia="en-US" w:bidi="ar-SA"/>
              </w:rPr>
              <w:t>、排队功能：用户使用资源不足时，未超过单个资源池限制，启动排队功能，默认根据用户提交时间排队，管理员可修改用户排队顺序。</w:t>
            </w:r>
          </w:p>
          <w:p w14:paraId="6C881E50">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11</w:t>
            </w:r>
            <w:r>
              <w:rPr>
                <w:rFonts w:hint="eastAsia" w:ascii="宋体" w:hAnsi="宋体" w:eastAsia="宋体" w:cs="宋体"/>
                <w:bCs/>
                <w:sz w:val="24"/>
                <w:szCs w:val="24"/>
                <w:lang w:val="en-US" w:eastAsia="en-US" w:bidi="ar-SA"/>
              </w:rPr>
              <w:t>、作业管理：提供训练作业管理功能，包括查看任务运行状态、作业名称、用户、使用资源池，支持作业快速克隆、查看运行日志，作业持续时间显示。</w:t>
            </w:r>
          </w:p>
          <w:p w14:paraId="5F100BBF">
            <w:pPr>
              <w:widowControl/>
              <w:spacing w:line="264" w:lineRule="auto"/>
              <w:jc w:val="both"/>
              <w:rPr>
                <w:rFonts w:hint="default" w:ascii="宋体" w:hAnsi="宋体" w:eastAsia="宋体" w:cs="宋体"/>
                <w:bCs/>
                <w:sz w:val="24"/>
                <w:szCs w:val="24"/>
                <w:lang w:val="en-US" w:eastAsia="zh-CN" w:bidi="ar-SA"/>
              </w:rPr>
            </w:pPr>
            <w:r>
              <w:rPr>
                <w:rFonts w:hint="eastAsia" w:ascii="宋体" w:hAnsi="宋体" w:eastAsia="宋体" w:cs="宋体"/>
                <w:bCs/>
                <w:sz w:val="24"/>
                <w:szCs w:val="24"/>
                <w:lang w:val="en-US" w:eastAsia="zh-CN" w:bidi="ar-SA"/>
              </w:rPr>
              <w:t>12</w:t>
            </w:r>
            <w:r>
              <w:rPr>
                <w:rFonts w:hint="eastAsia" w:ascii="宋体" w:hAnsi="宋体" w:eastAsia="宋体" w:cs="宋体"/>
                <w:bCs/>
                <w:sz w:val="24"/>
                <w:szCs w:val="24"/>
                <w:lang w:val="en-US" w:eastAsia="en-US" w:bidi="ar-SA"/>
              </w:rPr>
              <w:t>、作业监控：支持输出损失率、准确率等动态可视化监控图表，同时支持输出训练过程日志，并</w:t>
            </w:r>
            <w:r>
              <w:rPr>
                <w:rFonts w:hint="eastAsia" w:ascii="宋体" w:hAnsi="宋体" w:eastAsia="宋体" w:cs="宋体"/>
                <w:bCs/>
                <w:sz w:val="24"/>
                <w:szCs w:val="24"/>
                <w:lang w:val="en-US" w:eastAsia="zh-CN" w:bidi="ar-SA"/>
              </w:rPr>
              <w:t xml:space="preserve"> </w:t>
            </w:r>
            <w:r>
              <w:rPr>
                <w:rFonts w:hint="eastAsia" w:ascii="宋体" w:hAnsi="宋体" w:eastAsia="宋体" w:cs="宋体"/>
                <w:bCs/>
                <w:sz w:val="24"/>
                <w:szCs w:val="24"/>
                <w:lang w:val="en-US" w:eastAsia="en-US" w:bidi="ar-SA"/>
              </w:rPr>
              <w:t>提供日志查看功能。</w:t>
            </w:r>
          </w:p>
        </w:tc>
        <w:tc>
          <w:tcPr>
            <w:tcW w:w="1775" w:type="pct"/>
            <w:noWrap w:val="0"/>
            <w:vAlign w:val="center"/>
          </w:tcPr>
          <w:p w14:paraId="5E837E3C">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1、</w:t>
            </w:r>
            <w:r>
              <w:rPr>
                <w:rFonts w:hint="eastAsia" w:ascii="宋体" w:hAnsi="宋体" w:eastAsia="宋体" w:cs="宋体"/>
                <w:bCs/>
                <w:sz w:val="24"/>
                <w:szCs w:val="24"/>
                <w:lang w:val="en-US" w:eastAsia="en-US" w:bidi="ar-SA"/>
              </w:rPr>
              <w:t>支持服务器前面板硬件故障诊断功能，能够实时监测并准确定位系统、内存、电源、风扇、温度及网络等关键部件的故障状态。</w:t>
            </w:r>
          </w:p>
          <w:p w14:paraId="64446905">
            <w:pPr>
              <w:widowControl/>
              <w:spacing w:line="264" w:lineRule="auto"/>
              <w:jc w:val="both"/>
              <w:rPr>
                <w:rFonts w:hint="eastAsia" w:ascii="宋体" w:hAnsi="宋体" w:eastAsia="宋体" w:cs="宋体"/>
                <w:bCs/>
                <w:sz w:val="24"/>
                <w:szCs w:val="24"/>
                <w:lang w:val="en-US" w:eastAsia="zh-CN" w:bidi="ar-SA"/>
              </w:rPr>
            </w:pPr>
            <w:r>
              <w:rPr>
                <w:rFonts w:hint="eastAsia" w:ascii="宋体" w:hAnsi="宋体" w:eastAsia="宋体" w:cs="宋体"/>
                <w:bCs/>
                <w:sz w:val="24"/>
                <w:szCs w:val="24"/>
                <w:lang w:val="en-US" w:eastAsia="zh-CN" w:bidi="ar-SA"/>
              </w:rPr>
              <w:t>2、</w:t>
            </w:r>
            <w:r>
              <w:rPr>
                <w:rFonts w:hint="eastAsia" w:ascii="宋体" w:hAnsi="宋体" w:eastAsia="宋体" w:cs="宋体"/>
                <w:bCs/>
                <w:sz w:val="24"/>
                <w:szCs w:val="24"/>
                <w:lang w:val="en-US" w:eastAsia="en-US" w:bidi="ar-SA"/>
              </w:rPr>
              <w:t>支持图形化带外管理界面，可展示账号、应用服务及安全配置状态，具备安全风险识别</w:t>
            </w:r>
            <w:r>
              <w:rPr>
                <w:rFonts w:hint="eastAsia" w:ascii="宋体" w:hAnsi="宋体" w:eastAsia="宋体" w:cs="宋体"/>
                <w:bCs/>
                <w:sz w:val="24"/>
                <w:szCs w:val="24"/>
                <w:lang w:val="en-US" w:eastAsia="zh-CN" w:bidi="ar-SA"/>
              </w:rPr>
              <w:t>功能</w:t>
            </w:r>
            <w:r>
              <w:rPr>
                <w:rFonts w:hint="eastAsia" w:ascii="宋体" w:hAnsi="宋体" w:eastAsia="宋体" w:cs="宋体"/>
                <w:bCs/>
                <w:sz w:val="24"/>
                <w:szCs w:val="24"/>
                <w:lang w:val="en-US" w:eastAsia="en-US" w:bidi="ar-SA"/>
              </w:rPr>
              <w:t>。</w:t>
            </w:r>
          </w:p>
          <w:p w14:paraId="4C0ED416">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3、</w:t>
            </w:r>
            <w:r>
              <w:rPr>
                <w:rFonts w:hint="eastAsia" w:ascii="宋体" w:hAnsi="宋体" w:eastAsia="宋体" w:cs="宋体"/>
                <w:bCs/>
                <w:sz w:val="24"/>
                <w:szCs w:val="24"/>
                <w:lang w:val="en-US" w:eastAsia="en-US" w:bidi="ar-SA"/>
              </w:rPr>
              <w:t>集成独立BMC管理模块，全面支持IPMI、KVM over IP及虚拟媒体功能；支持CPU及进出风口温度、内存状态、风扇转速与占空比等服务器硬件全方位监控。</w:t>
            </w:r>
          </w:p>
          <w:p w14:paraId="10DEE98C">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4、提供</w:t>
            </w:r>
            <w:r>
              <w:rPr>
                <w:rFonts w:hint="eastAsia" w:ascii="宋体" w:hAnsi="宋体" w:eastAsia="宋体" w:cs="宋体"/>
                <w:bCs/>
                <w:sz w:val="24"/>
                <w:szCs w:val="24"/>
                <w:lang w:val="en-US" w:eastAsia="en-US" w:bidi="ar-SA"/>
              </w:rPr>
              <w:t>服务器性能监控，可采集并展示CPU利用率明细、磁盘分区使用率、网络收发速率、系统运行时长及进程数等关键指标。</w:t>
            </w:r>
          </w:p>
          <w:p w14:paraId="46C3C9E1">
            <w:pPr>
              <w:widowControl/>
              <w:spacing w:line="264" w:lineRule="auto"/>
              <w:jc w:val="both"/>
              <w:rPr>
                <w:rFonts w:hint="eastAsia" w:ascii="宋体" w:hAnsi="宋体" w:eastAsia="宋体" w:cs="宋体"/>
                <w:bCs/>
                <w:sz w:val="24"/>
                <w:szCs w:val="24"/>
                <w:lang w:val="en-US" w:eastAsia="zh-CN" w:bidi="ar-SA"/>
              </w:rPr>
            </w:pPr>
            <w:r>
              <w:rPr>
                <w:rFonts w:hint="eastAsia" w:ascii="宋体" w:hAnsi="宋体" w:eastAsia="宋体" w:cs="宋体"/>
                <w:bCs/>
                <w:sz w:val="24"/>
                <w:szCs w:val="24"/>
                <w:lang w:val="en-US" w:eastAsia="zh-CN" w:bidi="ar-SA"/>
              </w:rPr>
              <w:t>5、提供</w:t>
            </w:r>
            <w:r>
              <w:rPr>
                <w:rFonts w:hint="eastAsia" w:ascii="宋体" w:hAnsi="宋体" w:eastAsia="宋体" w:cs="宋体"/>
                <w:bCs/>
                <w:sz w:val="24"/>
                <w:szCs w:val="24"/>
                <w:lang w:val="en-US" w:eastAsia="en-US" w:bidi="ar-SA"/>
              </w:rPr>
              <w:t>BIOS启动自检（POST）明文化显示功能，能够在启动过程中将自检码转化为直观文本，便于快速定位故障节点</w:t>
            </w:r>
            <w:r>
              <w:rPr>
                <w:rFonts w:hint="eastAsia" w:ascii="宋体" w:hAnsi="宋体" w:eastAsia="宋体" w:cs="宋体"/>
                <w:bCs/>
                <w:sz w:val="24"/>
                <w:szCs w:val="24"/>
                <w:lang w:val="en-US" w:eastAsia="zh-CN" w:bidi="ar-SA"/>
              </w:rPr>
              <w:t>。</w:t>
            </w:r>
          </w:p>
          <w:p w14:paraId="3D21A234">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6、</w:t>
            </w:r>
            <w:r>
              <w:rPr>
                <w:rFonts w:hint="eastAsia" w:ascii="宋体" w:hAnsi="宋体" w:eastAsia="宋体" w:cs="宋体"/>
                <w:bCs/>
                <w:sz w:val="24"/>
                <w:szCs w:val="24"/>
                <w:lang w:val="en-US" w:eastAsia="en-US" w:bidi="ar-SA"/>
              </w:rPr>
              <w:t>支持</w:t>
            </w:r>
            <w:r>
              <w:rPr>
                <w:rFonts w:hint="eastAsia" w:ascii="宋体" w:hAnsi="宋体" w:eastAsia="宋体" w:cs="宋体"/>
                <w:bCs/>
                <w:sz w:val="24"/>
                <w:szCs w:val="24"/>
                <w:lang w:val="en-US" w:eastAsia="zh-CN" w:bidi="ar-SA"/>
              </w:rPr>
              <w:t>服务器</w:t>
            </w:r>
            <w:r>
              <w:rPr>
                <w:rFonts w:hint="eastAsia" w:ascii="宋体" w:hAnsi="宋体" w:eastAsia="宋体" w:cs="宋体"/>
                <w:bCs/>
                <w:sz w:val="24"/>
                <w:szCs w:val="24"/>
                <w:lang w:val="en-US" w:eastAsia="en-US" w:bidi="ar-SA"/>
              </w:rPr>
              <w:t>主机安全系统加固，具备增强型身份认证、服务完整性检测能力，并提供系统关键配置文件的防篡改保护机制。</w:t>
            </w:r>
          </w:p>
          <w:p w14:paraId="5EE6F46B">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7、</w:t>
            </w:r>
            <w:r>
              <w:rPr>
                <w:rFonts w:hint="eastAsia" w:ascii="宋体" w:hAnsi="宋体" w:eastAsia="宋体" w:cs="宋体"/>
                <w:bCs/>
                <w:sz w:val="24"/>
                <w:szCs w:val="24"/>
                <w:lang w:val="en-US" w:eastAsia="en-US" w:bidi="ar-SA"/>
              </w:rPr>
              <w:t>支持运行PyTorch、TensorFlow</w:t>
            </w:r>
            <w:r>
              <w:rPr>
                <w:rFonts w:hint="eastAsia" w:ascii="宋体" w:hAnsi="宋体" w:eastAsia="宋体" w:cs="宋体"/>
                <w:bCs/>
                <w:sz w:val="24"/>
                <w:szCs w:val="24"/>
                <w:lang w:val="en-US" w:eastAsia="zh-CN" w:bidi="ar-SA"/>
              </w:rPr>
              <w:t>、</w:t>
            </w:r>
            <w:r>
              <w:rPr>
                <w:rFonts w:hint="eastAsia" w:ascii="宋体" w:hAnsi="宋体" w:eastAsia="宋体" w:cs="宋体"/>
                <w:bCs/>
                <w:sz w:val="24"/>
                <w:szCs w:val="24"/>
                <w:lang w:val="en-US" w:eastAsia="en-US" w:bidi="ar-SA"/>
              </w:rPr>
              <w:t>DeepSpeed等主流训练框架及LLaMA、Qwen</w:t>
            </w:r>
            <w:r>
              <w:rPr>
                <w:rFonts w:hint="eastAsia" w:ascii="宋体" w:hAnsi="宋体" w:eastAsia="宋体" w:cs="宋体"/>
                <w:bCs/>
                <w:sz w:val="24"/>
                <w:szCs w:val="24"/>
                <w:lang w:val="en-US" w:eastAsia="zh-CN" w:bidi="ar-SA"/>
              </w:rPr>
              <w:t>、Deepseek</w:t>
            </w:r>
            <w:r>
              <w:rPr>
                <w:rFonts w:hint="eastAsia" w:ascii="宋体" w:hAnsi="宋体" w:eastAsia="宋体" w:cs="宋体"/>
                <w:bCs/>
                <w:sz w:val="24"/>
                <w:szCs w:val="24"/>
                <w:lang w:val="en-US" w:eastAsia="en-US" w:bidi="ar-SA"/>
              </w:rPr>
              <w:t>等大模型，支持大模型的训练与微调，具备参数微调训练能力</w:t>
            </w:r>
            <w:r>
              <w:rPr>
                <w:rFonts w:hint="eastAsia" w:ascii="宋体" w:hAnsi="宋体" w:eastAsia="宋体" w:cs="宋体"/>
                <w:bCs/>
                <w:sz w:val="24"/>
                <w:szCs w:val="24"/>
                <w:lang w:val="en-US" w:eastAsia="zh-CN" w:bidi="ar-SA"/>
              </w:rPr>
              <w:t>，</w:t>
            </w:r>
            <w:r>
              <w:rPr>
                <w:rFonts w:hint="eastAsia" w:ascii="宋体" w:hAnsi="宋体" w:eastAsia="宋体" w:cs="宋体"/>
                <w:bCs/>
                <w:sz w:val="24"/>
                <w:szCs w:val="24"/>
                <w:lang w:val="en-US" w:eastAsia="en-US" w:bidi="ar-SA"/>
              </w:rPr>
              <w:t>并可提供专项承诺函。</w:t>
            </w:r>
          </w:p>
          <w:p w14:paraId="27EEFC3C">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8、提供</w:t>
            </w:r>
            <w:r>
              <w:rPr>
                <w:rFonts w:hint="eastAsia" w:ascii="宋体" w:hAnsi="宋体" w:eastAsia="宋体" w:cs="宋体"/>
                <w:bCs/>
                <w:sz w:val="24"/>
                <w:szCs w:val="24"/>
                <w:lang w:val="en-US" w:eastAsia="en-US" w:bidi="ar-SA"/>
              </w:rPr>
              <w:t>GPU等异构计算资源管理接口，能够通过BMC/IPMI或开源调度系统（如Slurm）实现对CPU、内存及GPU资源的统一虚拟化与直通挂载。</w:t>
            </w:r>
          </w:p>
          <w:p w14:paraId="33614885">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9、</w:t>
            </w:r>
            <w:r>
              <w:rPr>
                <w:rFonts w:hint="eastAsia" w:ascii="宋体" w:hAnsi="宋体" w:eastAsia="宋体" w:cs="宋体"/>
                <w:bCs/>
                <w:sz w:val="24"/>
                <w:szCs w:val="24"/>
                <w:lang w:val="en-US" w:eastAsia="en-US" w:bidi="ar-SA"/>
              </w:rPr>
              <w:t>支持灵活的任务时长限制功能，通过BMC/IPMI或开源调度系统（如Slurm）实现</w:t>
            </w:r>
            <w:r>
              <w:rPr>
                <w:rFonts w:hint="eastAsia" w:ascii="宋体" w:hAnsi="宋体" w:eastAsia="宋体" w:cs="宋体"/>
                <w:bCs/>
                <w:sz w:val="24"/>
                <w:szCs w:val="24"/>
                <w:lang w:val="en-US" w:eastAsia="zh-CN" w:bidi="ar-SA"/>
              </w:rPr>
              <w:t>，</w:t>
            </w:r>
            <w:r>
              <w:rPr>
                <w:rFonts w:hint="eastAsia" w:ascii="宋体" w:hAnsi="宋体" w:eastAsia="宋体" w:cs="宋体"/>
                <w:bCs/>
                <w:sz w:val="24"/>
                <w:szCs w:val="24"/>
                <w:lang w:val="en-US" w:eastAsia="en-US" w:bidi="ar-SA"/>
              </w:rPr>
              <w:t>管理员可设置全局或特定队列的最大运行时间限制。当任务运行时间达到预设阈值时，系统将自动发出预警通知；若超时仍未结束，系统将自动终止任务并回收计算资源，以避免因程序死循环或遗忘关闭导致的资源浪费。</w:t>
            </w:r>
          </w:p>
          <w:p w14:paraId="5980338B">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10、提供</w:t>
            </w:r>
            <w:r>
              <w:rPr>
                <w:rFonts w:hint="eastAsia" w:ascii="宋体" w:hAnsi="宋体" w:eastAsia="宋体" w:cs="宋体"/>
                <w:bCs/>
                <w:sz w:val="24"/>
                <w:szCs w:val="24"/>
                <w:lang w:val="en-US" w:eastAsia="en-US" w:bidi="ar-SA"/>
              </w:rPr>
              <w:t>排队功能，平台内置智能作业调度器，支持多队列管理。当集群资源满载时，新提交的任务将自动进入排队状态。系统支持基于优先级、提交时间（先来先服务）等多种策略进行排队调度。用户可在前端界面实时查看当前任务在队列中的位置及预计等待时间。</w:t>
            </w:r>
          </w:p>
          <w:p w14:paraId="4C3FEC80">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11、提供</w:t>
            </w:r>
            <w:r>
              <w:rPr>
                <w:rFonts w:hint="eastAsia" w:ascii="宋体" w:hAnsi="宋体" w:eastAsia="宋体" w:cs="宋体"/>
                <w:bCs/>
                <w:sz w:val="24"/>
                <w:szCs w:val="24"/>
                <w:lang w:val="en-US" w:eastAsia="en-US" w:bidi="ar-SA"/>
              </w:rPr>
              <w:t>训练作业管理，具备查看任务运行状态、作业名称、用户、使用资源池，支持作业快速克隆、查看运行日志，作业持续时间显示</w:t>
            </w:r>
          </w:p>
          <w:p w14:paraId="70A53057">
            <w:pPr>
              <w:widowControl/>
              <w:spacing w:line="264" w:lineRule="auto"/>
              <w:jc w:val="both"/>
              <w:rPr>
                <w:rFonts w:hint="default" w:ascii="宋体" w:hAnsi="宋体" w:eastAsia="宋体" w:cs="宋体"/>
                <w:bCs/>
                <w:sz w:val="24"/>
                <w:szCs w:val="24"/>
                <w:lang w:val="en-US" w:eastAsia="zh-CN" w:bidi="ar-SA"/>
              </w:rPr>
            </w:pPr>
            <w:r>
              <w:rPr>
                <w:rFonts w:hint="eastAsia" w:ascii="宋体" w:hAnsi="宋体" w:eastAsia="宋体" w:cs="宋体"/>
                <w:bCs/>
                <w:sz w:val="24"/>
                <w:szCs w:val="24"/>
                <w:lang w:val="en-US" w:eastAsia="zh-CN" w:bidi="ar-SA"/>
              </w:rPr>
              <w:t>12、</w:t>
            </w:r>
            <w:r>
              <w:rPr>
                <w:rFonts w:hint="eastAsia" w:ascii="宋体" w:hAnsi="宋体" w:eastAsia="宋体" w:cs="宋体"/>
                <w:bCs/>
                <w:sz w:val="24"/>
                <w:szCs w:val="24"/>
                <w:lang w:val="en-US" w:eastAsia="en-US" w:bidi="ar-SA"/>
              </w:rPr>
              <w:t>支持训练作业动态可视化监控，可实时输出损失率、准确率等关键指标图表，并提供完整的日志查看功能。</w:t>
            </w:r>
          </w:p>
        </w:tc>
        <w:tc>
          <w:tcPr>
            <w:tcW w:w="679" w:type="pct"/>
            <w:noWrap w:val="0"/>
            <w:vAlign w:val="center"/>
          </w:tcPr>
          <w:p w14:paraId="36EF497A">
            <w:pPr>
              <w:keepNext w:val="0"/>
              <w:keepLines w:val="0"/>
              <w:widowControl/>
              <w:suppressLineNumbers w:val="0"/>
              <w:spacing w:line="240" w:lineRule="auto"/>
              <w:jc w:val="center"/>
              <w:textAlignment w:val="center"/>
              <w:rPr>
                <w:rFonts w:hint="eastAsia" w:ascii="宋体" w:hAnsi="宋体" w:eastAsia="宋体" w:cs="宋体"/>
                <w:bCs/>
                <w:sz w:val="24"/>
                <w:szCs w:val="24"/>
                <w:lang w:val="en-US" w:eastAsia="zh-CN" w:bidi="ar-SA"/>
              </w:rPr>
            </w:pPr>
            <w:r>
              <w:rPr>
                <w:rFonts w:hint="eastAsia" w:ascii="宋体" w:hAnsi="宋体" w:eastAsia="宋体" w:cs="宋体"/>
                <w:bCs/>
                <w:sz w:val="24"/>
                <w:szCs w:val="24"/>
                <w:lang w:val="en-US" w:eastAsia="zh-CN" w:bidi="ar-SA"/>
              </w:rPr>
              <w:t>无偏离</w:t>
            </w:r>
          </w:p>
          <w:p w14:paraId="7AFC6A02">
            <w:pPr>
              <w:keepNext w:val="0"/>
              <w:keepLines w:val="0"/>
              <w:widowControl/>
              <w:suppressLineNumbers w:val="0"/>
              <w:spacing w:line="240" w:lineRule="auto"/>
              <w:jc w:val="center"/>
              <w:textAlignment w:val="center"/>
              <w:rPr>
                <w:rFonts w:hint="eastAsia" w:ascii="宋体" w:hAnsi="宋体" w:eastAsia="宋体" w:cs="宋体"/>
                <w:bCs/>
                <w:sz w:val="24"/>
                <w:szCs w:val="24"/>
                <w:lang w:val="en-US" w:eastAsia="zh-CN" w:bidi="ar-SA"/>
              </w:rPr>
            </w:pPr>
          </w:p>
        </w:tc>
      </w:tr>
    </w:tbl>
    <w:p w14:paraId="44768DF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ascii="Calibri" w:hAnsi="Calibri" w:eastAsia="宋体" w:cs="Times New Roman"/>
          <w:kern w:val="2"/>
          <w:sz w:val="21"/>
          <w:szCs w:val="24"/>
          <w:lang w:val="en-US" w:eastAsia="zh-CN" w:bidi="ar-SA"/>
        </w:rPr>
      </w:pPr>
    </w:p>
    <w:p w14:paraId="7625DD2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ascii="Calibri" w:hAnsi="Calibri" w:eastAsia="宋体" w:cs="Times New Roman"/>
          <w:kern w:val="2"/>
          <w:sz w:val="21"/>
          <w:szCs w:val="24"/>
          <w:lang w:val="en-US" w:eastAsia="zh-CN" w:bidi="ar-SA"/>
        </w:rPr>
      </w:pPr>
      <w:r>
        <w:rPr>
          <w:rFonts w:ascii="Calibri" w:hAnsi="Calibri" w:eastAsia="宋体" w:cs="Times New Roman"/>
          <w:kern w:val="2"/>
          <w:sz w:val="21"/>
          <w:szCs w:val="24"/>
          <w:lang w:val="en-US" w:eastAsia="zh-CN" w:bidi="ar-SA"/>
        </w:rPr>
        <w:br w:type="page"/>
      </w:r>
    </w:p>
    <w:p w14:paraId="5345D8A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en-US" w:bidi="ar-SA"/>
        </w:rPr>
        <w:t>AI训练子系统平台</w:t>
      </w:r>
    </w:p>
    <w:tbl>
      <w:tblPr>
        <w:tblStyle w:val="6"/>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8"/>
        <w:gridCol w:w="3801"/>
        <w:gridCol w:w="3471"/>
        <w:gridCol w:w="1388"/>
      </w:tblGrid>
      <w:tr w14:paraId="55D86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12" w:type="pct"/>
            <w:shd w:val="clear" w:color="auto" w:fill="BEBEBE"/>
            <w:noWrap w:val="0"/>
            <w:vAlign w:val="center"/>
          </w:tcPr>
          <w:p w14:paraId="0C5583A5">
            <w:pPr>
              <w:snapToGrid w:val="0"/>
              <w:spacing w:line="240" w:lineRule="auto"/>
              <w:ind w:left="0" w:leftChars="0" w:right="0" w:rightChars="0" w:firstLine="0" w:firstLineChars="0"/>
              <w:jc w:val="center"/>
              <w:rPr>
                <w:rFonts w:hint="default"/>
                <w:sz w:val="21"/>
                <w:szCs w:val="21"/>
                <w:vertAlign w:val="baseline"/>
                <w:lang w:val="en-US" w:eastAsia="zh-CN"/>
              </w:rPr>
            </w:pPr>
            <w:r>
              <w:rPr>
                <w:rFonts w:hint="eastAsia" w:ascii="微软雅黑" w:hAnsi="微软雅黑" w:eastAsia="微软雅黑" w:cs="微软雅黑"/>
                <w:b/>
                <w:bCs/>
                <w:sz w:val="21"/>
                <w:szCs w:val="21"/>
                <w:vertAlign w:val="baseline"/>
                <w:lang w:val="en-US" w:eastAsia="zh-CN"/>
              </w:rPr>
              <w:t>模块</w:t>
            </w:r>
          </w:p>
        </w:tc>
        <w:tc>
          <w:tcPr>
            <w:tcW w:w="1925" w:type="pct"/>
            <w:shd w:val="clear" w:color="auto" w:fill="BEBEBE"/>
            <w:noWrap w:val="0"/>
            <w:vAlign w:val="center"/>
          </w:tcPr>
          <w:p w14:paraId="09921BD1">
            <w:pPr>
              <w:snapToGrid w:val="0"/>
              <w:spacing w:line="240" w:lineRule="auto"/>
              <w:ind w:left="0" w:leftChars="0" w:right="0" w:rightChars="0" w:firstLine="0" w:firstLineChars="0"/>
              <w:jc w:val="center"/>
              <w:rPr>
                <w:rFonts w:hint="eastAsia" w:eastAsia="宋体"/>
                <w:sz w:val="21"/>
                <w:szCs w:val="21"/>
                <w:vertAlign w:val="baseline"/>
                <w:lang w:val="en-US" w:eastAsia="zh-CN"/>
              </w:rPr>
            </w:pPr>
            <w:r>
              <w:rPr>
                <w:rFonts w:hint="eastAsia" w:ascii="微软雅黑" w:hAnsi="微软雅黑" w:eastAsia="微软雅黑" w:cs="微软雅黑"/>
                <w:b/>
                <w:bCs/>
                <w:sz w:val="21"/>
                <w:szCs w:val="21"/>
                <w:vertAlign w:val="baseline"/>
                <w:lang w:val="en-US" w:eastAsia="zh-CN"/>
              </w:rPr>
              <w:t>指标要求</w:t>
            </w:r>
          </w:p>
        </w:tc>
        <w:tc>
          <w:tcPr>
            <w:tcW w:w="1758" w:type="pct"/>
            <w:shd w:val="clear" w:color="auto" w:fill="BEBEBE"/>
            <w:noWrap w:val="0"/>
            <w:vAlign w:val="center"/>
          </w:tcPr>
          <w:p w14:paraId="6E726024">
            <w:pPr>
              <w:snapToGrid w:val="0"/>
              <w:spacing w:line="240" w:lineRule="auto"/>
              <w:ind w:left="0" w:leftChars="0" w:right="0" w:rightChars="0" w:firstLine="0" w:firstLineChars="0"/>
              <w:jc w:val="center"/>
              <w:rPr>
                <w:rFonts w:hint="eastAsia" w:eastAsia="宋体"/>
                <w:sz w:val="21"/>
                <w:szCs w:val="21"/>
                <w:vertAlign w:val="baseline"/>
                <w:lang w:val="en-US" w:eastAsia="zh-CN"/>
              </w:rPr>
            </w:pPr>
            <w:r>
              <w:rPr>
                <w:rFonts w:hint="eastAsia" w:ascii="微软雅黑" w:hAnsi="微软雅黑" w:eastAsia="微软雅黑" w:cs="微软雅黑"/>
                <w:b/>
                <w:bCs/>
                <w:sz w:val="21"/>
                <w:szCs w:val="21"/>
                <w:vertAlign w:val="baseline"/>
                <w:lang w:val="en-US" w:eastAsia="zh-CN"/>
              </w:rPr>
              <w:t>供应配置</w:t>
            </w:r>
          </w:p>
        </w:tc>
        <w:tc>
          <w:tcPr>
            <w:tcW w:w="703" w:type="pct"/>
            <w:shd w:val="clear" w:color="auto" w:fill="BEBEBE"/>
            <w:noWrap w:val="0"/>
            <w:vAlign w:val="center"/>
          </w:tcPr>
          <w:p w14:paraId="4412C44B">
            <w:pPr>
              <w:snapToGrid w:val="0"/>
              <w:spacing w:line="240" w:lineRule="auto"/>
              <w:ind w:left="0" w:leftChars="0" w:right="0" w:rightChars="0" w:firstLine="0" w:firstLineChars="0"/>
              <w:jc w:val="center"/>
              <w:rPr>
                <w:rFonts w:hint="default"/>
                <w:sz w:val="21"/>
                <w:szCs w:val="21"/>
                <w:vertAlign w:val="baseline"/>
                <w:lang w:val="en-US" w:eastAsia="zh-CN"/>
              </w:rPr>
            </w:pPr>
            <w:r>
              <w:rPr>
                <w:rFonts w:hint="eastAsia" w:ascii="微软雅黑" w:hAnsi="微软雅黑" w:eastAsia="微软雅黑" w:cs="微软雅黑"/>
                <w:b/>
                <w:bCs/>
                <w:sz w:val="21"/>
                <w:szCs w:val="21"/>
                <w:vertAlign w:val="baseline"/>
                <w:lang w:val="en-US" w:eastAsia="zh-CN"/>
              </w:rPr>
              <w:t>偏离情况</w:t>
            </w:r>
          </w:p>
        </w:tc>
      </w:tr>
      <w:tr w14:paraId="56EA8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12" w:type="pct"/>
            <w:noWrap w:val="0"/>
            <w:vAlign w:val="center"/>
          </w:tcPr>
          <w:p w14:paraId="7F40E662">
            <w:pPr>
              <w:keepNext w:val="0"/>
              <w:keepLines w:val="0"/>
              <w:widowControl/>
              <w:suppressLineNumbers w:val="0"/>
              <w:spacing w:line="240" w:lineRule="auto"/>
              <w:jc w:val="center"/>
              <w:textAlignment w:val="center"/>
              <w:rPr>
                <w:rFonts w:hint="default" w:ascii="宋体" w:hAnsi="宋体" w:eastAsia="宋体" w:cs="宋体"/>
                <w:bCs/>
                <w:sz w:val="24"/>
                <w:szCs w:val="24"/>
                <w:lang w:val="en-US" w:eastAsia="zh-CN" w:bidi="ar-SA"/>
              </w:rPr>
            </w:pPr>
            <w:r>
              <w:rPr>
                <w:rFonts w:hint="eastAsia" w:ascii="宋体" w:hAnsi="宋体" w:cs="宋体"/>
                <w:bCs/>
                <w:sz w:val="24"/>
                <w:szCs w:val="24"/>
                <w:lang w:val="en-US" w:eastAsia="zh-CN" w:bidi="ar-SA"/>
              </w:rPr>
              <w:t>软件部分</w:t>
            </w:r>
          </w:p>
        </w:tc>
        <w:tc>
          <w:tcPr>
            <w:tcW w:w="1925" w:type="pct"/>
            <w:noWrap w:val="0"/>
            <w:vAlign w:val="center"/>
          </w:tcPr>
          <w:p w14:paraId="769FC4D4">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en-US" w:bidi="ar-SA"/>
              </w:rPr>
              <w:t>▲1、提供服务器面板判断硬件故障功能，包括但不限于系统/内存/电源/风扇/温度/网络等关键部件的故障诊断功能 ；</w:t>
            </w:r>
          </w:p>
          <w:p w14:paraId="6A517175">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2</w:t>
            </w:r>
            <w:r>
              <w:rPr>
                <w:rFonts w:hint="eastAsia" w:ascii="宋体" w:hAnsi="宋体" w:eastAsia="宋体" w:cs="宋体"/>
                <w:bCs/>
                <w:sz w:val="24"/>
                <w:szCs w:val="24"/>
                <w:lang w:val="en-US" w:eastAsia="en-US" w:bidi="ar-SA"/>
              </w:rPr>
              <w:t>、支持图形化带外管理界面，通过管理界面集中展示帐号和应用服务等安全配置状态，及时识别安全配置风险。</w:t>
            </w:r>
          </w:p>
          <w:p w14:paraId="4FF0DE20">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en-US" w:bidi="ar-SA"/>
              </w:rPr>
              <w:t>▲</w:t>
            </w:r>
            <w:r>
              <w:rPr>
                <w:rFonts w:hint="eastAsia" w:ascii="宋体" w:hAnsi="宋体" w:eastAsia="宋体" w:cs="宋体"/>
                <w:bCs/>
                <w:sz w:val="24"/>
                <w:szCs w:val="24"/>
                <w:lang w:val="en-US" w:eastAsia="zh-CN" w:bidi="ar-SA"/>
              </w:rPr>
              <w:t>3</w:t>
            </w:r>
            <w:r>
              <w:rPr>
                <w:rFonts w:hint="eastAsia" w:ascii="宋体" w:hAnsi="宋体" w:eastAsia="宋体" w:cs="宋体"/>
                <w:bCs/>
                <w:sz w:val="24"/>
                <w:szCs w:val="24"/>
                <w:lang w:val="en-US" w:eastAsia="en-US" w:bidi="ar-SA"/>
              </w:rPr>
              <w:t>、集成BMC管理模块，支持IPMI、KVM over IP、虚拟媒体等功能；支持服务器硬件运行监控 ，包括CPU温度、内存使用率、；出入风口温度；风扇转速及风扇占空比。</w:t>
            </w:r>
          </w:p>
          <w:p w14:paraId="4086346B">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4</w:t>
            </w:r>
            <w:r>
              <w:rPr>
                <w:rFonts w:hint="eastAsia" w:ascii="宋体" w:hAnsi="宋体" w:eastAsia="宋体" w:cs="宋体"/>
                <w:bCs/>
                <w:sz w:val="24"/>
                <w:szCs w:val="24"/>
                <w:lang w:val="en-US" w:eastAsia="en-US" w:bidi="ar-SA"/>
              </w:rPr>
              <w:t>、服务器支持性能监控功能，包括CPU 利用率及使用明细；分区使用率及分区未使用量；网络发送速率、接收速率等，运行时长、系统进程数等。</w:t>
            </w:r>
          </w:p>
          <w:p w14:paraId="27051108">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5</w:t>
            </w:r>
            <w:r>
              <w:rPr>
                <w:rFonts w:hint="eastAsia" w:ascii="宋体" w:hAnsi="宋体" w:eastAsia="宋体" w:cs="宋体"/>
                <w:bCs/>
                <w:sz w:val="24"/>
                <w:szCs w:val="24"/>
                <w:lang w:val="en-US" w:eastAsia="en-US" w:bidi="ar-SA"/>
              </w:rPr>
              <w:t>、BIOS支持在启动过程中将所有自检码以明文化的形式展示在界面中，方便快速定位POST阶段故障。</w:t>
            </w:r>
          </w:p>
          <w:p w14:paraId="3462543D">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6</w:t>
            </w:r>
            <w:r>
              <w:rPr>
                <w:rFonts w:hint="eastAsia" w:ascii="宋体" w:hAnsi="宋体" w:eastAsia="宋体" w:cs="宋体"/>
                <w:bCs/>
                <w:sz w:val="24"/>
                <w:szCs w:val="24"/>
                <w:lang w:val="en-US" w:eastAsia="en-US" w:bidi="ar-SA"/>
              </w:rPr>
              <w:t>、支持服务器主机安全系统加固，可实现安全加固、增强型身份认证、服务完整性检测、系统配置文件防篡改机制等功能。</w:t>
            </w:r>
          </w:p>
          <w:p w14:paraId="4D911AF7">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en-US" w:bidi="ar-SA"/>
              </w:rPr>
              <w:t>▲</w:t>
            </w:r>
            <w:r>
              <w:rPr>
                <w:rFonts w:hint="eastAsia" w:ascii="宋体" w:hAnsi="宋体" w:eastAsia="宋体" w:cs="宋体"/>
                <w:bCs/>
                <w:sz w:val="24"/>
                <w:szCs w:val="24"/>
                <w:lang w:val="en-US" w:eastAsia="zh-CN" w:bidi="ar-SA"/>
              </w:rPr>
              <w:t>7</w:t>
            </w:r>
            <w:r>
              <w:rPr>
                <w:rFonts w:hint="eastAsia" w:ascii="宋体" w:hAnsi="宋体" w:eastAsia="宋体" w:cs="宋体"/>
                <w:bCs/>
                <w:sz w:val="24"/>
                <w:szCs w:val="24"/>
                <w:lang w:val="en-US" w:eastAsia="en-US" w:bidi="ar-SA"/>
              </w:rPr>
              <w:t>、所投服务器应具备运行行业主流训练框架（如PyTorch、TensorFlow、DeepSpeed等）及主流大模型（如LLaMA、Qwen、DeepSeek等）的能力，支持大模型的训练与微调，具备参数微调训练能力。投标人应提供承诺函，承诺在中标后配合采购人完成上述软件环境的部署和验证。</w:t>
            </w:r>
          </w:p>
          <w:p w14:paraId="003AA90B">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en-US" w:bidi="ar-SA"/>
              </w:rPr>
              <w:t>平台管理系统功能：</w:t>
            </w:r>
          </w:p>
          <w:p w14:paraId="6B8E8816">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8</w:t>
            </w:r>
            <w:r>
              <w:rPr>
                <w:rFonts w:hint="eastAsia" w:ascii="宋体" w:hAnsi="宋体" w:eastAsia="宋体" w:cs="宋体"/>
                <w:bCs/>
                <w:sz w:val="24"/>
                <w:szCs w:val="24"/>
                <w:lang w:val="en-US" w:eastAsia="en-US" w:bidi="ar-SA"/>
              </w:rPr>
              <w:t>、针对人工智能领域的特定需求，提供GPU等异构计算资源管理接口，实现对CPU、内存、磁盘等资源的虚拟化和统一管理，支持以直通方式挂载GPU等异构计算资源。（可通过硬件自带的BMC/IPMI功能、开源调度系统（如Slurm）或第三方商业软件实现，不限定具体产品。投标人应说明其实现方式，中标后配合采购人完成部署。）</w:t>
            </w:r>
          </w:p>
          <w:p w14:paraId="259891B8">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9</w:t>
            </w:r>
            <w:r>
              <w:rPr>
                <w:rFonts w:hint="eastAsia" w:ascii="宋体" w:hAnsi="宋体" w:eastAsia="宋体" w:cs="宋体"/>
                <w:bCs/>
                <w:sz w:val="24"/>
                <w:szCs w:val="24"/>
                <w:lang w:val="en-US" w:eastAsia="en-US" w:bidi="ar-SA"/>
              </w:rPr>
              <w:t>、任务时长功能：限制用户单任务使用时间，可对用户，用户组，全局进行任务使用时间限制。（可通过硬件自带的BMC/IPMI功能、开源调度系统（如Slurm）或第三方商业软件实现，不限定具体产品。投标人应说明其实现方式，中标后配合采购人完成部署。）</w:t>
            </w:r>
          </w:p>
          <w:p w14:paraId="04D13231">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10</w:t>
            </w:r>
            <w:r>
              <w:rPr>
                <w:rFonts w:hint="eastAsia" w:ascii="宋体" w:hAnsi="宋体" w:eastAsia="宋体" w:cs="宋体"/>
                <w:bCs/>
                <w:sz w:val="24"/>
                <w:szCs w:val="24"/>
                <w:lang w:val="en-US" w:eastAsia="en-US" w:bidi="ar-SA"/>
              </w:rPr>
              <w:t>、排队功能：用户使用资源不足时，未超过单个资源池限制，启动排队功能，默认根据用户提交时间排队，管理员可修改用户排队顺序。</w:t>
            </w:r>
          </w:p>
          <w:p w14:paraId="670E65FE">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11</w:t>
            </w:r>
            <w:r>
              <w:rPr>
                <w:rFonts w:hint="eastAsia" w:ascii="宋体" w:hAnsi="宋体" w:eastAsia="宋体" w:cs="宋体"/>
                <w:bCs/>
                <w:sz w:val="24"/>
                <w:szCs w:val="24"/>
                <w:lang w:val="en-US" w:eastAsia="en-US" w:bidi="ar-SA"/>
              </w:rPr>
              <w:t>、作业管理：提供训练作业管理功能，包括查看任务运行状态、作业名称、用户、使用资源池，支持作业快速克隆、查看运行日志，作业持续时间显示。</w:t>
            </w:r>
          </w:p>
          <w:p w14:paraId="31801C63">
            <w:pPr>
              <w:widowControl/>
              <w:spacing w:line="264" w:lineRule="auto"/>
              <w:jc w:val="both"/>
              <w:rPr>
                <w:rFonts w:hint="eastAsia" w:ascii="宋体" w:hAnsi="宋体" w:eastAsia="宋体" w:cs="宋体"/>
                <w:bCs/>
                <w:sz w:val="24"/>
                <w:szCs w:val="24"/>
                <w:lang w:val="en-US" w:eastAsia="zh-CN" w:bidi="ar-SA"/>
              </w:rPr>
            </w:pPr>
            <w:r>
              <w:rPr>
                <w:rFonts w:hint="eastAsia" w:ascii="宋体" w:hAnsi="宋体" w:eastAsia="宋体" w:cs="宋体"/>
                <w:bCs/>
                <w:sz w:val="24"/>
                <w:szCs w:val="24"/>
                <w:lang w:val="en-US" w:eastAsia="zh-CN" w:bidi="ar-SA"/>
              </w:rPr>
              <w:t>12</w:t>
            </w:r>
            <w:r>
              <w:rPr>
                <w:rFonts w:hint="eastAsia" w:ascii="宋体" w:hAnsi="宋体" w:eastAsia="宋体" w:cs="宋体"/>
                <w:bCs/>
                <w:sz w:val="24"/>
                <w:szCs w:val="24"/>
                <w:lang w:val="en-US" w:eastAsia="en-US" w:bidi="ar-SA"/>
              </w:rPr>
              <w:t>、作业监控：支持输出损失率、准确率等动态可视化监控图表，同时支持输出训练过程日志，并提供日志查看功能。</w:t>
            </w:r>
          </w:p>
        </w:tc>
        <w:tc>
          <w:tcPr>
            <w:tcW w:w="1758" w:type="pct"/>
            <w:noWrap w:val="0"/>
            <w:vAlign w:val="center"/>
          </w:tcPr>
          <w:p w14:paraId="2C8E4CCB">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1、</w:t>
            </w:r>
            <w:r>
              <w:rPr>
                <w:rFonts w:hint="eastAsia" w:ascii="宋体" w:hAnsi="宋体" w:eastAsia="宋体" w:cs="宋体"/>
                <w:bCs/>
                <w:sz w:val="24"/>
                <w:szCs w:val="24"/>
                <w:lang w:val="en-US" w:eastAsia="en-US" w:bidi="ar-SA"/>
              </w:rPr>
              <w:t>支持服务器前面板硬件故障诊断功能，能够实时监测并准确定位系统、内存、电源、风扇、温度及网络等关键部件的故障状态。</w:t>
            </w:r>
          </w:p>
          <w:p w14:paraId="0E6707E8">
            <w:pPr>
              <w:widowControl/>
              <w:spacing w:line="264" w:lineRule="auto"/>
              <w:jc w:val="both"/>
              <w:rPr>
                <w:rFonts w:hint="eastAsia" w:ascii="宋体" w:hAnsi="宋体" w:eastAsia="宋体" w:cs="宋体"/>
                <w:bCs/>
                <w:sz w:val="24"/>
                <w:szCs w:val="24"/>
                <w:lang w:val="en-US" w:eastAsia="zh-CN" w:bidi="ar-SA"/>
              </w:rPr>
            </w:pPr>
            <w:r>
              <w:rPr>
                <w:rFonts w:hint="eastAsia" w:ascii="宋体" w:hAnsi="宋体" w:eastAsia="宋体" w:cs="宋体"/>
                <w:bCs/>
                <w:sz w:val="24"/>
                <w:szCs w:val="24"/>
                <w:lang w:val="en-US" w:eastAsia="zh-CN" w:bidi="ar-SA"/>
              </w:rPr>
              <w:t>2、</w:t>
            </w:r>
            <w:r>
              <w:rPr>
                <w:rFonts w:hint="eastAsia" w:ascii="宋体" w:hAnsi="宋体" w:eastAsia="宋体" w:cs="宋体"/>
                <w:bCs/>
                <w:sz w:val="24"/>
                <w:szCs w:val="24"/>
                <w:lang w:val="en-US" w:eastAsia="en-US" w:bidi="ar-SA"/>
              </w:rPr>
              <w:t>支持图形化带外管理界面，可展示账号、应用服务及安全配置状态，具备安全风险识别</w:t>
            </w:r>
            <w:r>
              <w:rPr>
                <w:rFonts w:hint="eastAsia" w:ascii="宋体" w:hAnsi="宋体" w:eastAsia="宋体" w:cs="宋体"/>
                <w:bCs/>
                <w:sz w:val="24"/>
                <w:szCs w:val="24"/>
                <w:lang w:val="en-US" w:eastAsia="zh-CN" w:bidi="ar-SA"/>
              </w:rPr>
              <w:t>功能</w:t>
            </w:r>
            <w:r>
              <w:rPr>
                <w:rFonts w:hint="eastAsia" w:ascii="宋体" w:hAnsi="宋体" w:eastAsia="宋体" w:cs="宋体"/>
                <w:bCs/>
                <w:sz w:val="24"/>
                <w:szCs w:val="24"/>
                <w:lang w:val="en-US" w:eastAsia="en-US" w:bidi="ar-SA"/>
              </w:rPr>
              <w:t>。</w:t>
            </w:r>
          </w:p>
          <w:p w14:paraId="13D2CBBD">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3、</w:t>
            </w:r>
            <w:r>
              <w:rPr>
                <w:rFonts w:hint="eastAsia" w:ascii="宋体" w:hAnsi="宋体" w:eastAsia="宋体" w:cs="宋体"/>
                <w:bCs/>
                <w:sz w:val="24"/>
                <w:szCs w:val="24"/>
                <w:lang w:val="en-US" w:eastAsia="en-US" w:bidi="ar-SA"/>
              </w:rPr>
              <w:t>集成独立BMC管理模块，全面支持IPMI、KVM over IP及虚拟媒体功能；支持CPU及进出风口温度、内存状态、风扇转速与占空比等服务器硬件全方位监控。</w:t>
            </w:r>
          </w:p>
          <w:p w14:paraId="60F8AAEA">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4、提供</w:t>
            </w:r>
            <w:r>
              <w:rPr>
                <w:rFonts w:hint="eastAsia" w:ascii="宋体" w:hAnsi="宋体" w:eastAsia="宋体" w:cs="宋体"/>
                <w:bCs/>
                <w:sz w:val="24"/>
                <w:szCs w:val="24"/>
                <w:lang w:val="en-US" w:eastAsia="en-US" w:bidi="ar-SA"/>
              </w:rPr>
              <w:t>服务器性能监控，可采集并展示CPU利用率明细、磁盘分区使用率、网络收发速率、系统运行时长及进程数等关键指标。</w:t>
            </w:r>
          </w:p>
          <w:p w14:paraId="663797CB">
            <w:pPr>
              <w:widowControl/>
              <w:spacing w:line="264" w:lineRule="auto"/>
              <w:jc w:val="both"/>
              <w:rPr>
                <w:rFonts w:hint="eastAsia" w:ascii="宋体" w:hAnsi="宋体" w:eastAsia="宋体" w:cs="宋体"/>
                <w:bCs/>
                <w:sz w:val="24"/>
                <w:szCs w:val="24"/>
                <w:lang w:val="en-US" w:eastAsia="zh-CN" w:bidi="ar-SA"/>
              </w:rPr>
            </w:pPr>
            <w:r>
              <w:rPr>
                <w:rFonts w:hint="eastAsia" w:ascii="宋体" w:hAnsi="宋体" w:eastAsia="宋体" w:cs="宋体"/>
                <w:bCs/>
                <w:sz w:val="24"/>
                <w:szCs w:val="24"/>
                <w:lang w:val="en-US" w:eastAsia="zh-CN" w:bidi="ar-SA"/>
              </w:rPr>
              <w:t>5、提供</w:t>
            </w:r>
            <w:r>
              <w:rPr>
                <w:rFonts w:hint="eastAsia" w:ascii="宋体" w:hAnsi="宋体" w:eastAsia="宋体" w:cs="宋体"/>
                <w:bCs/>
                <w:sz w:val="24"/>
                <w:szCs w:val="24"/>
                <w:lang w:val="en-US" w:eastAsia="en-US" w:bidi="ar-SA"/>
              </w:rPr>
              <w:t>BIOS启动自检（POST）明文化显示功能，能够在启动过程中将自检码转化为直观文本，便于快速定位故障节点</w:t>
            </w:r>
            <w:r>
              <w:rPr>
                <w:rFonts w:hint="eastAsia" w:ascii="宋体" w:hAnsi="宋体" w:eastAsia="宋体" w:cs="宋体"/>
                <w:bCs/>
                <w:sz w:val="24"/>
                <w:szCs w:val="24"/>
                <w:lang w:val="en-US" w:eastAsia="zh-CN" w:bidi="ar-SA"/>
              </w:rPr>
              <w:t>。</w:t>
            </w:r>
          </w:p>
          <w:p w14:paraId="58321B42">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6、</w:t>
            </w:r>
            <w:r>
              <w:rPr>
                <w:rFonts w:hint="eastAsia" w:ascii="宋体" w:hAnsi="宋体" w:eastAsia="宋体" w:cs="宋体"/>
                <w:bCs/>
                <w:sz w:val="24"/>
                <w:szCs w:val="24"/>
                <w:lang w:val="en-US" w:eastAsia="en-US" w:bidi="ar-SA"/>
              </w:rPr>
              <w:t>支持</w:t>
            </w:r>
            <w:r>
              <w:rPr>
                <w:rFonts w:hint="eastAsia" w:ascii="宋体" w:hAnsi="宋体" w:eastAsia="宋体" w:cs="宋体"/>
                <w:bCs/>
                <w:sz w:val="24"/>
                <w:szCs w:val="24"/>
                <w:lang w:val="en-US" w:eastAsia="zh-CN" w:bidi="ar-SA"/>
              </w:rPr>
              <w:t>服务器</w:t>
            </w:r>
            <w:r>
              <w:rPr>
                <w:rFonts w:hint="eastAsia" w:ascii="宋体" w:hAnsi="宋体" w:eastAsia="宋体" w:cs="宋体"/>
                <w:bCs/>
                <w:sz w:val="24"/>
                <w:szCs w:val="24"/>
                <w:lang w:val="en-US" w:eastAsia="en-US" w:bidi="ar-SA"/>
              </w:rPr>
              <w:t>主机安全系统加固，具备增强型身份认证、服务完整性检测能力，并提供系统关键配置文件的防篡改保护机制。</w:t>
            </w:r>
          </w:p>
          <w:p w14:paraId="0687AA3A">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7、</w:t>
            </w:r>
            <w:r>
              <w:rPr>
                <w:rFonts w:hint="eastAsia" w:ascii="宋体" w:hAnsi="宋体" w:eastAsia="宋体" w:cs="宋体"/>
                <w:bCs/>
                <w:sz w:val="24"/>
                <w:szCs w:val="24"/>
                <w:lang w:val="en-US" w:eastAsia="en-US" w:bidi="ar-SA"/>
              </w:rPr>
              <w:t>支持运行PyTorch、TensorFlow</w:t>
            </w:r>
            <w:r>
              <w:rPr>
                <w:rFonts w:hint="eastAsia" w:ascii="宋体" w:hAnsi="宋体" w:eastAsia="宋体" w:cs="宋体"/>
                <w:bCs/>
                <w:sz w:val="24"/>
                <w:szCs w:val="24"/>
                <w:lang w:val="en-US" w:eastAsia="zh-CN" w:bidi="ar-SA"/>
              </w:rPr>
              <w:t>、</w:t>
            </w:r>
            <w:r>
              <w:rPr>
                <w:rFonts w:hint="eastAsia" w:ascii="宋体" w:hAnsi="宋体" w:eastAsia="宋体" w:cs="宋体"/>
                <w:bCs/>
                <w:sz w:val="24"/>
                <w:szCs w:val="24"/>
                <w:lang w:val="en-US" w:eastAsia="en-US" w:bidi="ar-SA"/>
              </w:rPr>
              <w:t>DeepSpeed等主流训练框架及LLaMA、Qwen</w:t>
            </w:r>
            <w:r>
              <w:rPr>
                <w:rFonts w:hint="eastAsia" w:ascii="宋体" w:hAnsi="宋体" w:eastAsia="宋体" w:cs="宋体"/>
                <w:bCs/>
                <w:sz w:val="24"/>
                <w:szCs w:val="24"/>
                <w:lang w:val="en-US" w:eastAsia="zh-CN" w:bidi="ar-SA"/>
              </w:rPr>
              <w:t>、Deepseek</w:t>
            </w:r>
            <w:r>
              <w:rPr>
                <w:rFonts w:hint="eastAsia" w:ascii="宋体" w:hAnsi="宋体" w:eastAsia="宋体" w:cs="宋体"/>
                <w:bCs/>
                <w:sz w:val="24"/>
                <w:szCs w:val="24"/>
                <w:lang w:val="en-US" w:eastAsia="en-US" w:bidi="ar-SA"/>
              </w:rPr>
              <w:t>等大模型，支持大模型的训练与微调，具备参数微调训练能力</w:t>
            </w:r>
            <w:r>
              <w:rPr>
                <w:rFonts w:hint="eastAsia" w:ascii="宋体" w:hAnsi="宋体" w:eastAsia="宋体" w:cs="宋体"/>
                <w:bCs/>
                <w:sz w:val="24"/>
                <w:szCs w:val="24"/>
                <w:lang w:val="en-US" w:eastAsia="zh-CN" w:bidi="ar-SA"/>
              </w:rPr>
              <w:t>，</w:t>
            </w:r>
            <w:r>
              <w:rPr>
                <w:rFonts w:hint="eastAsia" w:ascii="宋体" w:hAnsi="宋体" w:eastAsia="宋体" w:cs="宋体"/>
                <w:bCs/>
                <w:sz w:val="24"/>
                <w:szCs w:val="24"/>
                <w:lang w:val="en-US" w:eastAsia="en-US" w:bidi="ar-SA"/>
              </w:rPr>
              <w:t>并可提供专项承诺函。</w:t>
            </w:r>
          </w:p>
          <w:p w14:paraId="0BF3E45B">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8、提供</w:t>
            </w:r>
            <w:r>
              <w:rPr>
                <w:rFonts w:hint="eastAsia" w:ascii="宋体" w:hAnsi="宋体" w:eastAsia="宋体" w:cs="宋体"/>
                <w:bCs/>
                <w:sz w:val="24"/>
                <w:szCs w:val="24"/>
                <w:lang w:val="en-US" w:eastAsia="en-US" w:bidi="ar-SA"/>
              </w:rPr>
              <w:t>GPU等异构计算资源管理接口，能够通过BMC/IPMI或开源调度系统（如Slurm）实现对CPU、内存及GPU资源的统一虚拟化与直通挂载。</w:t>
            </w:r>
          </w:p>
          <w:p w14:paraId="13E4FFBF">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9、</w:t>
            </w:r>
            <w:r>
              <w:rPr>
                <w:rFonts w:hint="eastAsia" w:ascii="宋体" w:hAnsi="宋体" w:eastAsia="宋体" w:cs="宋体"/>
                <w:bCs/>
                <w:sz w:val="24"/>
                <w:szCs w:val="24"/>
                <w:lang w:val="en-US" w:eastAsia="en-US" w:bidi="ar-SA"/>
              </w:rPr>
              <w:t>支持灵活的任务时长限制功能，通过BMC/IPMI或开源调度系统（如Slurm）实现</w:t>
            </w:r>
            <w:r>
              <w:rPr>
                <w:rFonts w:hint="eastAsia" w:ascii="宋体" w:hAnsi="宋体" w:eastAsia="宋体" w:cs="宋体"/>
                <w:bCs/>
                <w:sz w:val="24"/>
                <w:szCs w:val="24"/>
                <w:lang w:val="en-US" w:eastAsia="zh-CN" w:bidi="ar-SA"/>
              </w:rPr>
              <w:t>，</w:t>
            </w:r>
            <w:r>
              <w:rPr>
                <w:rFonts w:hint="eastAsia" w:ascii="宋体" w:hAnsi="宋体" w:eastAsia="宋体" w:cs="宋体"/>
                <w:bCs/>
                <w:sz w:val="24"/>
                <w:szCs w:val="24"/>
                <w:lang w:val="en-US" w:eastAsia="en-US" w:bidi="ar-SA"/>
              </w:rPr>
              <w:t>管理员可设置全局或特定队列的最大运行时间限制。当任务运行时间达到预设阈值时，系统将自动发出预警通知；若超时仍未结束，系统将自动终止任务并回收计算资源，以避免因程序死循环或遗忘关闭导致的资源浪费。</w:t>
            </w:r>
          </w:p>
          <w:p w14:paraId="792FBC96">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10、提供</w:t>
            </w:r>
            <w:r>
              <w:rPr>
                <w:rFonts w:hint="eastAsia" w:ascii="宋体" w:hAnsi="宋体" w:eastAsia="宋体" w:cs="宋体"/>
                <w:bCs/>
                <w:sz w:val="24"/>
                <w:szCs w:val="24"/>
                <w:lang w:val="en-US" w:eastAsia="en-US" w:bidi="ar-SA"/>
              </w:rPr>
              <w:t>排队功能，平台内置智能作业调度器，支持多队列管理。当集群资源满载时，新提交的任务将自动进入排队状态。系统支持基于优先级、提交时间（先来先服务）等多种策略进行排队调度。用户可在前端界面实时查看当前任务在队列中的位置及预计等待时间。</w:t>
            </w:r>
          </w:p>
          <w:p w14:paraId="66972E0E">
            <w:pPr>
              <w:widowControl/>
              <w:spacing w:line="264" w:lineRule="auto"/>
              <w:jc w:val="both"/>
              <w:rPr>
                <w:rFonts w:hint="eastAsia" w:ascii="宋体" w:hAnsi="宋体" w:eastAsia="宋体" w:cs="宋体"/>
                <w:bCs/>
                <w:sz w:val="24"/>
                <w:szCs w:val="24"/>
                <w:lang w:val="en-US" w:eastAsia="en-US" w:bidi="ar-SA"/>
              </w:rPr>
            </w:pPr>
            <w:r>
              <w:rPr>
                <w:rFonts w:hint="eastAsia" w:ascii="宋体" w:hAnsi="宋体" w:eastAsia="宋体" w:cs="宋体"/>
                <w:bCs/>
                <w:sz w:val="24"/>
                <w:szCs w:val="24"/>
                <w:lang w:val="en-US" w:eastAsia="zh-CN" w:bidi="ar-SA"/>
              </w:rPr>
              <w:t>11、提供</w:t>
            </w:r>
            <w:r>
              <w:rPr>
                <w:rFonts w:hint="eastAsia" w:ascii="宋体" w:hAnsi="宋体" w:eastAsia="宋体" w:cs="宋体"/>
                <w:bCs/>
                <w:sz w:val="24"/>
                <w:szCs w:val="24"/>
                <w:lang w:val="en-US" w:eastAsia="en-US" w:bidi="ar-SA"/>
              </w:rPr>
              <w:t>训练作业管理，具备查看任务运行状态、作业名称、用户、使用资源池，支持作业快速克隆、查看运行日志，作业持续时间显示</w:t>
            </w:r>
          </w:p>
          <w:p w14:paraId="07A1F8D2">
            <w:pPr>
              <w:widowControl/>
              <w:spacing w:line="264" w:lineRule="auto"/>
              <w:jc w:val="both"/>
              <w:rPr>
                <w:rFonts w:hint="eastAsia" w:ascii="宋体" w:hAnsi="宋体" w:eastAsia="宋体" w:cs="宋体"/>
                <w:bCs/>
                <w:sz w:val="24"/>
                <w:szCs w:val="24"/>
                <w:lang w:val="en-US" w:eastAsia="zh-CN" w:bidi="ar-SA"/>
              </w:rPr>
            </w:pPr>
            <w:r>
              <w:rPr>
                <w:rFonts w:hint="eastAsia" w:ascii="宋体" w:hAnsi="宋体" w:eastAsia="宋体" w:cs="宋体"/>
                <w:bCs/>
                <w:sz w:val="24"/>
                <w:szCs w:val="24"/>
                <w:lang w:val="en-US" w:eastAsia="zh-CN" w:bidi="ar-SA"/>
              </w:rPr>
              <w:t>12、</w:t>
            </w:r>
            <w:r>
              <w:rPr>
                <w:rFonts w:hint="eastAsia" w:ascii="宋体" w:hAnsi="宋体" w:eastAsia="宋体" w:cs="宋体"/>
                <w:bCs/>
                <w:sz w:val="24"/>
                <w:szCs w:val="24"/>
                <w:lang w:val="en-US" w:eastAsia="en-US" w:bidi="ar-SA"/>
              </w:rPr>
              <w:t>支持训练作业动态可视化监控，可实时输出损失率、准确率等关键指标图表，并提供完整的日志查看功能。</w:t>
            </w:r>
          </w:p>
        </w:tc>
        <w:tc>
          <w:tcPr>
            <w:tcW w:w="703" w:type="pct"/>
            <w:noWrap w:val="0"/>
            <w:vAlign w:val="center"/>
          </w:tcPr>
          <w:p w14:paraId="588471E7">
            <w:pPr>
              <w:keepNext w:val="0"/>
              <w:keepLines w:val="0"/>
              <w:widowControl/>
              <w:suppressLineNumbers w:val="0"/>
              <w:spacing w:line="240" w:lineRule="auto"/>
              <w:jc w:val="center"/>
              <w:textAlignment w:val="center"/>
              <w:rPr>
                <w:rFonts w:hint="eastAsia" w:ascii="宋体" w:hAnsi="宋体" w:eastAsia="宋体" w:cs="宋体"/>
                <w:bCs/>
                <w:sz w:val="24"/>
                <w:szCs w:val="24"/>
                <w:lang w:val="en-US" w:eastAsia="zh-CN" w:bidi="ar-SA"/>
              </w:rPr>
            </w:pPr>
            <w:r>
              <w:rPr>
                <w:rFonts w:hint="eastAsia" w:ascii="宋体" w:hAnsi="宋体" w:eastAsia="宋体" w:cs="宋体"/>
                <w:bCs/>
                <w:sz w:val="24"/>
                <w:szCs w:val="24"/>
                <w:lang w:val="en-US" w:eastAsia="zh-CN" w:bidi="ar-SA"/>
              </w:rPr>
              <w:t>无偏离</w:t>
            </w:r>
          </w:p>
          <w:p w14:paraId="130D3D35">
            <w:pPr>
              <w:keepNext w:val="0"/>
              <w:keepLines w:val="0"/>
              <w:widowControl/>
              <w:suppressLineNumbers w:val="0"/>
              <w:spacing w:line="240" w:lineRule="auto"/>
              <w:jc w:val="center"/>
              <w:textAlignment w:val="center"/>
              <w:rPr>
                <w:rFonts w:hint="eastAsia" w:ascii="宋体" w:hAnsi="宋体" w:eastAsia="宋体" w:cs="宋体"/>
                <w:bCs/>
                <w:sz w:val="24"/>
                <w:szCs w:val="24"/>
                <w:lang w:val="en-US" w:eastAsia="zh-CN" w:bidi="ar-SA"/>
              </w:rPr>
            </w:pPr>
          </w:p>
        </w:tc>
      </w:tr>
    </w:tbl>
    <w:p w14:paraId="273BF6CD"/>
    <w:sectPr>
      <w:pgSz w:w="11906" w:h="16838"/>
      <w:pgMar w:top="1440" w:right="1066" w:bottom="1440" w:left="11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EE6ECB"/>
    <w:rsid w:val="11F823DD"/>
    <w:rsid w:val="1A61243A"/>
    <w:rsid w:val="20254CE5"/>
    <w:rsid w:val="20AA51EA"/>
    <w:rsid w:val="34F8431E"/>
    <w:rsid w:val="35C0308E"/>
    <w:rsid w:val="37321D6A"/>
    <w:rsid w:val="375241BA"/>
    <w:rsid w:val="3E8F1850"/>
    <w:rsid w:val="3FC01EDD"/>
    <w:rsid w:val="410A78B3"/>
    <w:rsid w:val="45B87CF7"/>
    <w:rsid w:val="46DC3A58"/>
    <w:rsid w:val="490966A2"/>
    <w:rsid w:val="4DD76D6F"/>
    <w:rsid w:val="4E7B594C"/>
    <w:rsid w:val="550C37A2"/>
    <w:rsid w:val="58C817A8"/>
    <w:rsid w:val="5F3F29C6"/>
    <w:rsid w:val="647C1FC7"/>
    <w:rsid w:val="66B20AAA"/>
    <w:rsid w:val="6BCE3108"/>
    <w:rsid w:val="6F8561D3"/>
    <w:rsid w:val="7C4E5079"/>
    <w:rsid w:val="7E1370A0"/>
    <w:rsid w:val="7EC91A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First Indent 2"/>
    <w:basedOn w:val="3"/>
    <w:next w:val="1"/>
    <w:qFormat/>
    <w:uiPriority w:val="0"/>
    <w:pPr>
      <w:spacing w:after="0" w:line="360" w:lineRule="auto"/>
      <w:ind w:left="0" w:firstLine="420"/>
    </w:pPr>
    <w:rPr>
      <w:rFonts w:ascii="宋体" w:hAnsi="宋体"/>
      <w:szCs w:val="20"/>
    </w:rPr>
  </w:style>
  <w:style w:type="paragraph" w:styleId="3">
    <w:name w:val="Body Text Indent"/>
    <w:basedOn w:val="1"/>
    <w:next w:val="4"/>
    <w:unhideWhenUsed/>
    <w:qFormat/>
    <w:uiPriority w:val="0"/>
    <w:pPr>
      <w:spacing w:after="120"/>
      <w:ind w:left="420"/>
    </w:pPr>
  </w:style>
  <w:style w:type="paragraph" w:styleId="4">
    <w:name w:val="envelope return"/>
    <w:basedOn w:val="1"/>
    <w:qFormat/>
    <w:uiPriority w:val="0"/>
    <w:rPr>
      <w:rFonts w:ascii="Arial" w:hAnsi="Arial" w:cs="宋体"/>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3437</Words>
  <Characters>3795</Characters>
  <Lines>0</Lines>
  <Paragraphs>0</Paragraphs>
  <TotalTime>7</TotalTime>
  <ScaleCrop>false</ScaleCrop>
  <LinksUpToDate>false</LinksUpToDate>
  <CharactersWithSpaces>3810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2026-05-20T03:55:00Z</dcterms:created>
  <dc:creator>Administrator</dc:creator>
  <cp:lastModifiedBy>～</cp:lastModifiedBy>
  <dcterms:modified xsi:type="dcterms:W3CDTF">2026-05-20T06:43:25Z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eyJoZGlkIjoiMzRkZTZjZDdjMTNiYTdiYTc4OWZkZmZjZDhhMzRiYjQiLCJ1c2VySWQiOiI4NzQxMzE3NTgifQ==</vt:lpwstr>
  </property>
  <property fmtid="{D5CDD505-2E9C-101B-9397-08002B2CF9AE}" pid="4" name="ICV">
    <vt:lpwstr>82D7417FED10496CA29CFA63E2792031_12</vt:lpwstr>
  </property>
</Properties>
</file>