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DCC6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AI算力服务器采购项目工作说明书（SOW）</w:t>
      </w:r>
    </w:p>
    <w:p w14:paraId="61F2DA6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项目总则</w:t>
      </w:r>
      <w:bookmarkEnd w:id="0"/>
    </w:p>
    <w:p w14:paraId="3EB632C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项目名称</w:t>
      </w:r>
      <w:bookmarkEnd w:id="1"/>
    </w:p>
    <w:p w14:paraId="71AE0F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AI算力服务器采购及算力纳管、智能体适配部署项目</w:t>
      </w:r>
    </w:p>
    <w:p w14:paraId="2DD126E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项目背景</w:t>
      </w:r>
      <w:bookmarkEnd w:id="2"/>
    </w:p>
    <w:p w14:paraId="7C1ED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为支撑公司人工智能大模型训练、高阶推理、智能体应用研发与落地业务，扩充企业本地AI算力基础设施，本次采购一台NVIDIA CUDA架构高性能AI算力服务器。设备需满足大规模并行计算、显存池化、高速互联能力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4B6A7FA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强制性核心要求（不可偏离项）</w:t>
      </w:r>
      <w:bookmarkEnd w:id="3"/>
    </w:p>
    <w:p w14:paraId="7C2F776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GPU硬件形态</w:t>
      </w:r>
      <w:r>
        <w:rPr>
          <w:rFonts w:ascii="Arial" w:hAnsi="Arial" w:eastAsia="等线" w:cs="Arial"/>
          <w:sz w:val="22"/>
        </w:rPr>
        <w:t>：本次配置GPU_Nvidia_HGX-H20-8GPU_1128G_AC必须为原厂模组化设计，搭载NVSwitch交换板，启用NVLink全互联模式，禁止散装GPU、禁用阉割互联版本，保障8卡GPU无阻塞高速通信。</w:t>
      </w:r>
    </w:p>
    <w:p w14:paraId="5FA7E9C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架构标准</w:t>
      </w:r>
      <w:r>
        <w:rPr>
          <w:rFonts w:ascii="Arial" w:hAnsi="Arial" w:eastAsia="等线" w:cs="Arial"/>
          <w:sz w:val="22"/>
        </w:rPr>
        <w:t>：整机采用NVIDIA标准CUDA计算架构，适配主流AI开发框架、大模型算法、智能体运行组件。</w:t>
      </w:r>
    </w:p>
    <w:p w14:paraId="1E6D337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项目实施范围</w:t>
      </w:r>
      <w:bookmarkEnd w:id="4"/>
    </w:p>
    <w:p w14:paraId="58126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包含硬件设备原厂供货、运输交付、上架安装、硬件调试、阵列配置、网络调试、操作系统激活、NVIDIA软件栈部署、整机压力测试、验收交付、售后质保、技术培训等全部工作内容。</w:t>
      </w:r>
    </w:p>
    <w:p w14:paraId="65E67B4A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详细硬件配置清单（原厂全新、不可替换）</w:t>
      </w:r>
      <w:bookmarkEnd w:id="5"/>
    </w:p>
    <w:p w14:paraId="42A95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本章节所有硬件物料严格按照甲方指定编码、规格、数量供货，所有配件为全新原厂正品，无翻新、无拆机、无改配，核心硬件提供原厂可查询序列号。</w:t>
      </w:r>
    </w:p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8"/>
        <w:gridCol w:w="5621"/>
        <w:gridCol w:w="499"/>
        <w:gridCol w:w="1903"/>
      </w:tblGrid>
      <w:tr w14:paraId="79811C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D4B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9C5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物料编码/硬件名称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9D2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数量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C66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技术备注</w:t>
            </w:r>
          </w:p>
        </w:tc>
      </w:tr>
      <w:tr w14:paraId="2D0956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A9D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4D47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GPU_Nvidia_HGX-H20-8GPU_1128G_AC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E74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E23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模组化HGX架构，NVLink全互联，总显存1128GB，支持显存池化，搭载NVSwitch互联技术，单卡双向带宽≥900GB/s</w:t>
            </w:r>
          </w:p>
        </w:tc>
      </w:tr>
      <w:tr w14:paraId="704BCA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FDC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B92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Part_SwitchBoard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93F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A48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配套NVLink交换板，适配HGX H20模组，实现8GPU无阻塞互联</w:t>
            </w:r>
          </w:p>
        </w:tc>
      </w:tr>
      <w:tr w14:paraId="7B949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D89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70A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CPU_Intel_8558P_Xeon_2.7GHz_48C_260M_350W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A90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48B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双路CPU，主频2.7GHz，48核心，260M缓存，功耗350W，兼容PCIe Gen5，适配AI并行计算调度</w:t>
            </w:r>
          </w:p>
        </w:tc>
      </w:tr>
      <w:tr w14:paraId="03B31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D7B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4DE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Mem_64G_DDR5-5600MHz_ECC-RDIMM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20E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75F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单条64GB，总内存2048GB，DDR5 5600MHz，ECC纠错，保障长时间AI运算稳定性</w:t>
            </w:r>
          </w:p>
        </w:tc>
      </w:tr>
      <w:tr w14:paraId="0EB3F7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DD0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8FC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SSD_960G_SATA_6Gpbs_2.5in_Read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495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111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SATA接口，6Gbps速率，2.5英寸，组建RAID1，用作系统启动盘</w:t>
            </w:r>
          </w:p>
        </w:tc>
      </w:tr>
      <w:tr w14:paraId="3BC74A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096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D6A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SSD_3.84T_U.2_16GTps_2.5in_R-Standard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D94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71E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U.2高速固态，16GTps传输速率，用于模型存储、数据集缓存、智能体业务数据留存</w:t>
            </w:r>
          </w:p>
        </w:tc>
      </w:tr>
      <w:tr w14:paraId="56689A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917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928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Carrier_2.5_B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645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1C1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2.5英寸硬盘专用托架，适配机箱硬盘位</w:t>
            </w:r>
          </w:p>
        </w:tc>
      </w:tr>
      <w:tr w14:paraId="230329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521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404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RAID_9560-8i_4G_12Gbps_PCIe x8-Gen4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72E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DEE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RAID阵列卡，4G缓存，12Gbps传输，PCIe Gen4，支持RAID0/1/5/6/10</w:t>
            </w:r>
          </w:p>
        </w:tc>
      </w:tr>
      <w:tr w14:paraId="3231F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E12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A07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NIC_25Gbps_2Port_LC_Metab_BCM57414_PCIe_MM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331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435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双端口25G光纤网卡，LC接口，支持RDMA，适配高速算力集群互联、智能体业务数据传输</w:t>
            </w:r>
          </w:p>
        </w:tc>
      </w:tr>
      <w:tr w14:paraId="3F03F5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27C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C04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Riser_X16+X16_LEFT+RIGHT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11E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06C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左右双PCIe X16扩展支架，兼容高速板卡拓展</w:t>
            </w:r>
          </w:p>
        </w:tc>
      </w:tr>
      <w:tr w14:paraId="77172E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75C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9BC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PowerSupply_3200W_Titanium_220VACor240VDC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734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0D8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钛金级高效电源，支持交流/直流供电，热插拔冗余</w:t>
            </w:r>
          </w:p>
        </w:tc>
      </w:tr>
      <w:tr w14:paraId="698797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B6A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9927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PowerSupply_2700W_Titanium_220VACor240VDC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B49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2A4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钛金级高效电源，整机电源冗余设计，保障高负载算力运行不断电</w:t>
            </w:r>
          </w:p>
        </w:tc>
      </w:tr>
      <w:tr w14:paraId="1AC44D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FC2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5E9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PowerCord_2.5m_Bend_C19_CN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3C5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AEB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2.5米国标弯折C19电源线，适配机房供电接口</w:t>
            </w:r>
          </w:p>
        </w:tc>
      </w:tr>
      <w:tr w14:paraId="103F09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4B9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C33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Rail_Slider-Stab-in_683mm_4U-King Slide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784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4AA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683mm 4U机柜专用承重滑轨，方便设备上架维护</w:t>
            </w:r>
          </w:p>
        </w:tc>
      </w:tr>
      <w:tr w14:paraId="29A59A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D0A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C34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PKACCY_470x285x63_Box-Blankspace_General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347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698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机箱专用防尘挡板，规整机箱风道</w:t>
            </w:r>
          </w:p>
        </w:tc>
      </w:tr>
      <w:tr w14:paraId="03D1A6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1DC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919B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Chassis_2.5x24_GPU-SW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032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697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4U机架式机箱，24盘位2.5英寸硬盘槽，适配GPU模组散热布局</w:t>
            </w:r>
          </w:p>
        </w:tc>
      </w:tr>
      <w:tr w14:paraId="6B513C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827C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01E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MB_Eagle_Non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E97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D87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专用服务器主板，兼容双路CPU、HGX H20模组、多电源供电架构</w:t>
            </w:r>
          </w:p>
        </w:tc>
      </w:tr>
      <w:tr w14:paraId="2FBC22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23D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700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Part_DC-SCM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8D1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94B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直流供电管控模块，稳压控流，保障硬件供电稳定性</w:t>
            </w:r>
          </w:p>
        </w:tc>
      </w:tr>
      <w:tr w14:paraId="6BA42E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9BC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30F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Fan_24000rpm_6056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C2C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CAC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24000转高转速散热风扇，负责GPU模组高热区域散热</w:t>
            </w:r>
          </w:p>
        </w:tc>
      </w:tr>
      <w:tr w14:paraId="2EB9CA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B84E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22A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Fan_17000rpm_8086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37D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479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17000转散热风扇，优化整机风道，降低硬件运行温度</w:t>
            </w:r>
          </w:p>
        </w:tc>
      </w:tr>
      <w:tr w14:paraId="506839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A94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39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E91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Software_LR-KeyarchOS-ActivatedEdition_CH</w:t>
            </w:r>
          </w:p>
        </w:tc>
        <w:tc>
          <w:tcPr>
            <w:tcW w:w="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8D0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3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643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预装激活版麒麟国产化操作系统（中文），永久授权，适配乙方算力纳管软件、智能体软件部署</w:t>
            </w:r>
          </w:p>
        </w:tc>
      </w:tr>
    </w:tbl>
    <w:p w14:paraId="67DA72BD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3. 软件系统技术要求</w:t>
      </w:r>
      <w:bookmarkEnd w:id="6"/>
    </w:p>
    <w:p w14:paraId="7920717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3.1 基础系统软件</w:t>
      </w:r>
      <w:bookmarkEnd w:id="7"/>
    </w:p>
    <w:p w14:paraId="6168F75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操作系统：预装Software_LR-KeyarchOS-ActivatedEdition_CH国产化系统，完成正版激活，系统无试用期限，关闭不必要冗余服务，优化GPU算力调度内核参数。</w:t>
      </w:r>
    </w:p>
    <w:p w14:paraId="206B4F5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NVIDIA基础软件栈：</w:t>
      </w:r>
      <w:r>
        <w:rPr>
          <w:rFonts w:hint="eastAsia" w:ascii="Arial" w:hAnsi="Arial" w:eastAsia="等线" w:cs="Arial"/>
          <w:sz w:val="22"/>
          <w:lang w:val="en-US" w:eastAsia="zh-CN"/>
        </w:rPr>
        <w:t>在上述操作系统可支持的情况下，</w:t>
      </w:r>
      <w:r>
        <w:rPr>
          <w:rFonts w:ascii="Arial" w:hAnsi="Arial" w:eastAsia="等线" w:cs="Arial"/>
          <w:sz w:val="22"/>
        </w:rPr>
        <w:t>部署适配H20模组的原厂驱动、CUDA Toolkit 12.4及以上版本、cuDNN、TensorRT、NVIDIA Fabric Manager，完整启用NVLink互联协议，保障CUDA架构全速运行。</w:t>
      </w:r>
    </w:p>
    <w:p w14:paraId="6111133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系统组件：预装编译环境、虚拟化组件、硬件监控插件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3369549A">
      <w:pPr>
        <w:spacing w:before="380" w:after="140" w:line="288" w:lineRule="auto"/>
        <w:ind w:left="0"/>
        <w:jc w:val="left"/>
        <w:outlineLvl w:val="0"/>
      </w:pPr>
      <w:bookmarkStart w:id="8" w:name="heading_10"/>
      <w:r>
        <w:rPr>
          <w:rFonts w:ascii="Arial" w:hAnsi="Arial" w:eastAsia="等线" w:cs="Arial"/>
          <w:b/>
          <w:sz w:val="36"/>
        </w:rPr>
        <w:t>4. 项目实施工作内容</w:t>
      </w:r>
      <w:bookmarkEnd w:id="8"/>
    </w:p>
    <w:p w14:paraId="396D2B18">
      <w:pPr>
        <w:spacing w:before="320" w:after="120" w:line="288" w:lineRule="auto"/>
        <w:ind w:left="0"/>
        <w:jc w:val="left"/>
        <w:outlineLvl w:val="1"/>
      </w:pPr>
      <w:bookmarkStart w:id="9" w:name="heading_11"/>
      <w:r>
        <w:rPr>
          <w:rFonts w:ascii="Arial" w:hAnsi="Arial" w:eastAsia="等线" w:cs="Arial"/>
          <w:b/>
          <w:sz w:val="32"/>
        </w:rPr>
        <w:t>4.1 硬件实施</w:t>
      </w:r>
      <w:bookmarkEnd w:id="9"/>
    </w:p>
    <w:p w14:paraId="618F66D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卖方负责设备原厂打包运输，做好防震、防潮、防磕碰防护，运输风险由卖方承担。</w:t>
      </w:r>
    </w:p>
    <w:p w14:paraId="29F8B44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设备到货后，完成机房上架、滑轨安装、电源线及光纤布线、硬件接线调试。</w:t>
      </w:r>
    </w:p>
    <w:p w14:paraId="621A9E1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配置RAID阵列，2块960G SSD组建RAID1，保障系统盘数据安全。</w:t>
      </w:r>
    </w:p>
    <w:p w14:paraId="69644ED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BIOS、BMC固件升级优化，开启NVLink全局互联、电源冗余、智能调速功能。</w:t>
      </w:r>
    </w:p>
    <w:p w14:paraId="2443AB2C">
      <w:pPr>
        <w:spacing w:before="320" w:after="120" w:line="288" w:lineRule="auto"/>
        <w:ind w:left="0"/>
        <w:jc w:val="left"/>
        <w:outlineLvl w:val="1"/>
      </w:pPr>
      <w:bookmarkStart w:id="10" w:name="heading_12"/>
      <w:r>
        <w:rPr>
          <w:rFonts w:ascii="Arial" w:hAnsi="Arial" w:eastAsia="等线" w:cs="Arial"/>
          <w:b/>
          <w:sz w:val="32"/>
        </w:rPr>
        <w:t>4.2 软件部署调试</w:t>
      </w:r>
      <w:bookmarkEnd w:id="10"/>
    </w:p>
    <w:p w14:paraId="5961975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操作系统安装、激活、初始化配置，关闭高危端口。</w:t>
      </w:r>
    </w:p>
    <w:p w14:paraId="6777E90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部署NVIDIA算力软件栈，验证CUDA可用性、NVLink互联连通性。</w:t>
      </w:r>
    </w:p>
    <w:p w14:paraId="3AB1D98F">
      <w:pPr>
        <w:spacing w:before="320" w:after="120" w:line="288" w:lineRule="auto"/>
        <w:ind w:left="0"/>
        <w:jc w:val="left"/>
        <w:outlineLvl w:val="1"/>
      </w:pPr>
      <w:bookmarkStart w:id="11" w:name="heading_13"/>
      <w:r>
        <w:rPr>
          <w:rFonts w:ascii="Arial" w:hAnsi="Arial" w:eastAsia="等线" w:cs="Arial"/>
          <w:b/>
          <w:sz w:val="32"/>
        </w:rPr>
        <w:t>4.3 压力测试与优化</w:t>
      </w:r>
      <w:bookmarkEnd w:id="11"/>
    </w:p>
    <w:p w14:paraId="6C4A244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硬件稳定性测试：72小时不间断空载+负载压力测试，无死机、无重启、无硬件报错。</w:t>
      </w:r>
    </w:p>
    <w:p w14:paraId="239C8F1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GPU互联测试：验证8卡NVLink互通正常，无断连、带宽达标。</w:t>
      </w:r>
    </w:p>
    <w:p w14:paraId="196C2147">
      <w:pPr>
        <w:spacing w:before="380" w:after="140" w:line="288" w:lineRule="auto"/>
        <w:ind w:left="0"/>
        <w:jc w:val="left"/>
        <w:outlineLvl w:val="0"/>
      </w:pPr>
      <w:bookmarkStart w:id="12" w:name="heading_14"/>
      <w:r>
        <w:rPr>
          <w:rFonts w:ascii="Arial" w:hAnsi="Arial" w:eastAsia="等线" w:cs="Arial"/>
          <w:b/>
          <w:sz w:val="36"/>
        </w:rPr>
        <w:t>5. 验收标准与流程</w:t>
      </w:r>
      <w:bookmarkEnd w:id="12"/>
    </w:p>
    <w:p w14:paraId="6D40B7C5">
      <w:pPr>
        <w:spacing w:before="320" w:after="120" w:line="288" w:lineRule="auto"/>
        <w:ind w:left="0"/>
        <w:jc w:val="left"/>
        <w:outlineLvl w:val="1"/>
      </w:pPr>
      <w:bookmarkStart w:id="13" w:name="heading_15"/>
      <w:r>
        <w:rPr>
          <w:rFonts w:ascii="Arial" w:hAnsi="Arial" w:eastAsia="等线" w:cs="Arial"/>
          <w:b/>
          <w:sz w:val="32"/>
        </w:rPr>
        <w:t>5.1 到货验收</w:t>
      </w:r>
      <w:bookmarkEnd w:id="13"/>
    </w:p>
    <w:p w14:paraId="57D34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核对硬件编码、型号、数量、序列号，外包装完好无破损，配件齐全，原厂质保文件齐全，双方签署到货验收单。</w:t>
      </w:r>
    </w:p>
    <w:p w14:paraId="1F9662F4">
      <w:pPr>
        <w:spacing w:before="320" w:after="120" w:line="288" w:lineRule="auto"/>
        <w:ind w:left="0"/>
        <w:jc w:val="left"/>
        <w:outlineLvl w:val="1"/>
      </w:pPr>
      <w:bookmarkStart w:id="14" w:name="heading_16"/>
      <w:r>
        <w:rPr>
          <w:rFonts w:ascii="Arial" w:hAnsi="Arial" w:eastAsia="等线" w:cs="Arial"/>
          <w:b/>
          <w:sz w:val="32"/>
        </w:rPr>
        <w:t>5.2 硬件功能验收</w:t>
      </w:r>
      <w:bookmarkEnd w:id="14"/>
    </w:p>
    <w:p w14:paraId="49D362F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主板正常识别全部CPU、内存、硬盘、GPU、网卡、电源、风扇；</w:t>
      </w:r>
    </w:p>
    <w:p w14:paraId="310A3B6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电源冗余测试：单台电源断电，设备不间断运行；</w:t>
      </w:r>
    </w:p>
    <w:p w14:paraId="6D6AD96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HGX H20模组识别正常，NVLink互联拓扑完整，无断开链路。</w:t>
      </w:r>
    </w:p>
    <w:p w14:paraId="64B41401">
      <w:pPr>
        <w:spacing w:before="320" w:after="120" w:line="288" w:lineRule="auto"/>
        <w:ind w:left="0"/>
        <w:jc w:val="left"/>
        <w:outlineLvl w:val="1"/>
      </w:pPr>
      <w:bookmarkStart w:id="15" w:name="heading_17"/>
      <w:r>
        <w:rPr>
          <w:rFonts w:ascii="Arial" w:hAnsi="Arial" w:eastAsia="等线" w:cs="Arial"/>
          <w:b/>
          <w:sz w:val="32"/>
        </w:rPr>
        <w:t>5.3 性能验收</w:t>
      </w:r>
      <w:bookmarkEnd w:id="15"/>
    </w:p>
    <w:p w14:paraId="5053CF1C">
      <w:pPr>
        <w:numPr>
          <w:ilvl w:val="0"/>
          <w:numId w:val="17"/>
        </w:numPr>
        <w:spacing w:before="120" w:after="120" w:line="288" w:lineRule="auto"/>
        <w:ind w:left="0"/>
        <w:jc w:val="left"/>
      </w:pPr>
      <w:bookmarkStart w:id="26" w:name="_GoBack"/>
      <w:r>
        <w:rPr>
          <w:rFonts w:ascii="Arial" w:hAnsi="Arial" w:eastAsia="等线" w:cs="Arial"/>
          <w:sz w:val="22"/>
        </w:rPr>
        <w:t>GPU：nvidia-smi识别8块H20显卡，总显存1128GB，NVLink双向带宽</w:t>
      </w:r>
      <w:r>
        <w:rPr>
          <w:rFonts w:hint="eastAsia" w:ascii="Arial" w:hAnsi="Arial" w:eastAsia="等线" w:cs="Arial"/>
          <w:sz w:val="22"/>
          <w:lang w:val="en-US" w:eastAsia="zh-CN"/>
        </w:rPr>
        <w:t>趋近官方标准值</w:t>
      </w:r>
      <w:r>
        <w:rPr>
          <w:rFonts w:ascii="Arial" w:hAnsi="Arial" w:eastAsia="等线" w:cs="Arial"/>
          <w:sz w:val="22"/>
        </w:rPr>
        <w:t>；</w:t>
      </w:r>
    </w:p>
    <w:p w14:paraId="6E541F5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网络：25G网卡实测</w:t>
      </w:r>
      <w:r>
        <w:rPr>
          <w:rFonts w:hint="eastAsia" w:ascii="Arial" w:hAnsi="Arial" w:eastAsia="等线" w:cs="Arial"/>
          <w:sz w:val="22"/>
          <w:lang w:val="en-US" w:eastAsia="zh-CN"/>
        </w:rPr>
        <w:t>通信带宽趋近官方标准值</w:t>
      </w:r>
      <w:r>
        <w:rPr>
          <w:rFonts w:ascii="Arial" w:hAnsi="Arial" w:eastAsia="等线" w:cs="Arial"/>
          <w:sz w:val="22"/>
        </w:rPr>
        <w:t>，支持RDMA；</w:t>
      </w:r>
    </w:p>
    <w:p w14:paraId="1E38DBA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存储：系统盘、数据盘读写速率</w:t>
      </w:r>
      <w:r>
        <w:rPr>
          <w:rFonts w:hint="eastAsia" w:ascii="Arial" w:hAnsi="Arial" w:eastAsia="等线" w:cs="Arial"/>
          <w:sz w:val="22"/>
          <w:lang w:val="en-US" w:eastAsia="zh-CN"/>
        </w:rPr>
        <w:t>趋近</w:t>
      </w:r>
      <w:r>
        <w:rPr>
          <w:rFonts w:ascii="Arial" w:hAnsi="Arial" w:eastAsia="等线" w:cs="Arial"/>
          <w:sz w:val="22"/>
        </w:rPr>
        <w:t>原厂标称标准，无坏道、无掉速。</w:t>
      </w:r>
    </w:p>
    <w:bookmarkEnd w:id="26"/>
    <w:p w14:paraId="5C12D0B1">
      <w:pPr>
        <w:spacing w:before="320" w:after="120" w:line="288" w:lineRule="auto"/>
        <w:ind w:left="0"/>
        <w:jc w:val="left"/>
        <w:outlineLvl w:val="1"/>
      </w:pPr>
      <w:bookmarkStart w:id="16" w:name="heading_18"/>
      <w:r>
        <w:rPr>
          <w:rFonts w:ascii="Arial" w:hAnsi="Arial" w:eastAsia="等线" w:cs="Arial"/>
          <w:b/>
          <w:sz w:val="32"/>
        </w:rPr>
        <w:t>5.4 软件适配验收（新增乙方软件验收项）</w:t>
      </w:r>
      <w:bookmarkEnd w:id="16"/>
    </w:p>
    <w:p w14:paraId="646A309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操作系统正版激活，CUDA、驱动运行正常；</w:t>
      </w:r>
    </w:p>
    <w:p w14:paraId="3A780696">
      <w:pPr>
        <w:spacing w:before="320" w:after="120" w:line="288" w:lineRule="auto"/>
        <w:ind w:left="0"/>
        <w:jc w:val="left"/>
        <w:outlineLvl w:val="1"/>
      </w:pPr>
      <w:bookmarkStart w:id="17" w:name="heading_19"/>
      <w:r>
        <w:rPr>
          <w:rFonts w:ascii="Arial" w:hAnsi="Arial" w:eastAsia="等线" w:cs="Arial"/>
          <w:b/>
          <w:sz w:val="32"/>
        </w:rPr>
        <w:t>5.5 最终验收</w:t>
      </w:r>
      <w:bookmarkEnd w:id="17"/>
    </w:p>
    <w:p w14:paraId="7D7060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整机连续7×24小时稳定试运行，无异常告警、无宕机、无硬件故障，全部指标达标后签署最终验收报告。</w:t>
      </w:r>
    </w:p>
    <w:p w14:paraId="51744295">
      <w:pPr>
        <w:spacing w:before="380" w:after="140" w:line="288" w:lineRule="auto"/>
        <w:ind w:left="0"/>
        <w:jc w:val="left"/>
        <w:outlineLvl w:val="0"/>
      </w:pPr>
      <w:bookmarkStart w:id="18" w:name="heading_20"/>
      <w:r>
        <w:rPr>
          <w:rFonts w:ascii="Arial" w:hAnsi="Arial" w:eastAsia="等线" w:cs="Arial"/>
          <w:b/>
          <w:sz w:val="36"/>
        </w:rPr>
        <w:t>6. 交付物清单</w:t>
      </w:r>
      <w:bookmarkEnd w:id="18"/>
    </w:p>
    <w:p w14:paraId="38585EE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AI算力服务器整机1台、全套原装配件；</w:t>
      </w:r>
    </w:p>
    <w:p w14:paraId="6D0AE82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硬件原厂合格证、质保卡、序列号清单；</w:t>
      </w:r>
    </w:p>
    <w:p w14:paraId="15E7846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操作系统正版激活授权文件；</w:t>
      </w:r>
    </w:p>
    <w:p w14:paraId="07EFF46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设备安装配置手册、运维说明书（中文）；</w:t>
      </w:r>
    </w:p>
    <w:p w14:paraId="2A0BF73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测试报告、验收文档、软硬件适配验证报告。</w:t>
      </w:r>
    </w:p>
    <w:p w14:paraId="4AB953BA">
      <w:pPr>
        <w:spacing w:before="380" w:after="140" w:line="288" w:lineRule="auto"/>
        <w:ind w:left="0"/>
        <w:jc w:val="left"/>
        <w:outlineLvl w:val="0"/>
      </w:pPr>
      <w:bookmarkStart w:id="19" w:name="heading_21"/>
      <w:r>
        <w:rPr>
          <w:rFonts w:ascii="Arial" w:hAnsi="Arial" w:eastAsia="等线" w:cs="Arial"/>
          <w:b/>
          <w:sz w:val="36"/>
        </w:rPr>
        <w:t>7. 质保与售后服务</w:t>
      </w:r>
      <w:bookmarkEnd w:id="19"/>
    </w:p>
    <w:p w14:paraId="66BBD5C5">
      <w:pPr>
        <w:spacing w:before="320" w:after="120" w:line="288" w:lineRule="auto"/>
        <w:ind w:left="0"/>
        <w:jc w:val="left"/>
        <w:outlineLvl w:val="1"/>
      </w:pPr>
      <w:bookmarkStart w:id="20" w:name="heading_22"/>
      <w:r>
        <w:rPr>
          <w:rFonts w:ascii="Arial" w:hAnsi="Arial" w:eastAsia="等线" w:cs="Arial"/>
          <w:b/>
          <w:sz w:val="32"/>
        </w:rPr>
        <w:t>7.1 质保期限</w:t>
      </w:r>
      <w:bookmarkEnd w:id="20"/>
    </w:p>
    <w:p w14:paraId="1D962A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整机3年原厂质保，GPU、CPU、主板、内存、硬盘核心硬件3年原厂联保；操作系统1年免费升级维护；</w:t>
      </w:r>
    </w:p>
    <w:p w14:paraId="490EFD2F">
      <w:pPr>
        <w:spacing w:before="320" w:after="120" w:line="288" w:lineRule="auto"/>
        <w:ind w:left="0"/>
        <w:jc w:val="left"/>
        <w:outlineLvl w:val="1"/>
      </w:pPr>
      <w:bookmarkStart w:id="21" w:name="heading_23"/>
      <w:r>
        <w:rPr>
          <w:rFonts w:ascii="Arial" w:hAnsi="Arial" w:eastAsia="等线" w:cs="Arial"/>
          <w:b/>
          <w:sz w:val="32"/>
        </w:rPr>
        <w:t>7.2 技术支持</w:t>
      </w:r>
      <w:bookmarkEnd w:id="21"/>
    </w:p>
    <w:p w14:paraId="2BADEFE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7×24小时远程技术支持，故障响应≤2小时；</w:t>
      </w:r>
    </w:p>
    <w:p w14:paraId="71E642C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重大故障24小时内工程师现场上门排查；</w:t>
      </w:r>
    </w:p>
    <w:p w14:paraId="4A8DCA0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质保期内提供1次免费整机巡检、系统优化。</w:t>
      </w:r>
    </w:p>
    <w:p w14:paraId="020A2C19">
      <w:pPr>
        <w:spacing w:before="320" w:after="120" w:line="288" w:lineRule="auto"/>
        <w:ind w:left="0"/>
        <w:jc w:val="left"/>
        <w:outlineLvl w:val="1"/>
      </w:pPr>
      <w:bookmarkStart w:id="22" w:name="heading_24"/>
      <w:r>
        <w:rPr>
          <w:rFonts w:ascii="Arial" w:hAnsi="Arial" w:eastAsia="等线" w:cs="Arial"/>
          <w:b/>
          <w:sz w:val="32"/>
        </w:rPr>
        <w:t>7.3 备件服务</w:t>
      </w:r>
      <w:bookmarkEnd w:id="22"/>
    </w:p>
    <w:p w14:paraId="7DA22C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卖方国内设立备件库，故障硬件48小时内备件更换，不影响甲方AI业务正常运行。</w:t>
      </w:r>
    </w:p>
    <w:p w14:paraId="57758750">
      <w:pPr>
        <w:spacing w:before="380" w:after="140" w:line="288" w:lineRule="auto"/>
        <w:ind w:left="0"/>
        <w:jc w:val="left"/>
        <w:outlineLvl w:val="0"/>
      </w:pPr>
      <w:bookmarkStart w:id="23" w:name="heading_25"/>
      <w:r>
        <w:rPr>
          <w:rFonts w:ascii="Arial" w:hAnsi="Arial" w:eastAsia="等线" w:cs="Arial"/>
          <w:b/>
          <w:sz w:val="36"/>
        </w:rPr>
        <w:t>8. 双方权责</w:t>
      </w:r>
      <w:bookmarkEnd w:id="23"/>
    </w:p>
    <w:p w14:paraId="27F4E33C">
      <w:pPr>
        <w:spacing w:before="320" w:after="120" w:line="288" w:lineRule="auto"/>
        <w:ind w:left="0"/>
        <w:jc w:val="left"/>
        <w:outlineLvl w:val="1"/>
      </w:pPr>
      <w:bookmarkStart w:id="24" w:name="heading_26"/>
      <w:r>
        <w:rPr>
          <w:rFonts w:ascii="Arial" w:hAnsi="Arial" w:eastAsia="等线" w:cs="Arial"/>
          <w:b/>
          <w:sz w:val="32"/>
        </w:rPr>
        <w:t>8.1 甲方权责</w:t>
      </w:r>
      <w:bookmarkEnd w:id="24"/>
    </w:p>
    <w:p w14:paraId="6ABBDCC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提供符合标准的机房环境（供电、空调、机柜、网络）；</w:t>
      </w:r>
    </w:p>
    <w:p w14:paraId="67C6AD4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指定专人对接验收、调试工作，配合智能体软件适配调试；</w:t>
      </w:r>
    </w:p>
    <w:p w14:paraId="15E9BFD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按照合同约定按时支付款项。</w:t>
      </w:r>
    </w:p>
    <w:p w14:paraId="2A0852F3">
      <w:pPr>
        <w:spacing w:before="320" w:after="120" w:line="288" w:lineRule="auto"/>
        <w:ind w:left="0"/>
        <w:jc w:val="left"/>
        <w:outlineLvl w:val="1"/>
      </w:pPr>
      <w:bookmarkStart w:id="25" w:name="heading_27"/>
      <w:r>
        <w:rPr>
          <w:rFonts w:ascii="Arial" w:hAnsi="Arial" w:eastAsia="等线" w:cs="Arial"/>
          <w:b/>
          <w:sz w:val="32"/>
        </w:rPr>
        <w:t>8.2 乙方权责</w:t>
      </w:r>
      <w:bookmarkEnd w:id="25"/>
    </w:p>
    <w:p w14:paraId="57EA391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严格按照本SOW清单供货，严禁私自更改硬件规格、替换配件；</w:t>
      </w:r>
    </w:p>
    <w:p w14:paraId="7FA0CBD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完成全部安装、调试、适配、培训工作，交付合规可用设备；</w:t>
      </w:r>
    </w:p>
    <w:p w14:paraId="6C1F1B3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对甲方业务数据、硬件配置、软件授权承担保密义务；</w:t>
      </w:r>
    </w:p>
    <w:p w14:paraId="6A52B04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配合甲方完成后期算力扩容、软件升级适配工作。</w:t>
      </w:r>
    </w:p>
    <w:p w14:paraId="7073A01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A79D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D3DF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4"/>
  </w:num>
  <w:num w:numId="2">
    <w:abstractNumId w:val="22"/>
  </w:num>
  <w:num w:numId="3">
    <w:abstractNumId w:val="9"/>
  </w:num>
  <w:num w:numId="4">
    <w:abstractNumId w:val="6"/>
  </w:num>
  <w:num w:numId="5">
    <w:abstractNumId w:val="15"/>
  </w:num>
  <w:num w:numId="6">
    <w:abstractNumId w:val="17"/>
  </w:num>
  <w:num w:numId="7">
    <w:abstractNumId w:val="11"/>
  </w:num>
  <w:num w:numId="8">
    <w:abstractNumId w:val="10"/>
  </w:num>
  <w:num w:numId="9">
    <w:abstractNumId w:val="4"/>
  </w:num>
  <w:num w:numId="10">
    <w:abstractNumId w:val="20"/>
  </w:num>
  <w:num w:numId="11">
    <w:abstractNumId w:val="25"/>
  </w:num>
  <w:num w:numId="12">
    <w:abstractNumId w:val="5"/>
  </w:num>
  <w:num w:numId="13">
    <w:abstractNumId w:val="28"/>
  </w:num>
  <w:num w:numId="14">
    <w:abstractNumId w:val="8"/>
  </w:num>
  <w:num w:numId="15">
    <w:abstractNumId w:val="26"/>
  </w:num>
  <w:num w:numId="16">
    <w:abstractNumId w:val="3"/>
  </w:num>
  <w:num w:numId="17">
    <w:abstractNumId w:val="19"/>
  </w:num>
  <w:num w:numId="18">
    <w:abstractNumId w:val="1"/>
  </w:num>
  <w:num w:numId="19">
    <w:abstractNumId w:val="21"/>
  </w:num>
  <w:num w:numId="20">
    <w:abstractNumId w:val="29"/>
  </w:num>
  <w:num w:numId="21">
    <w:abstractNumId w:val="13"/>
  </w:num>
  <w:num w:numId="22">
    <w:abstractNumId w:val="12"/>
  </w:num>
  <w:num w:numId="23">
    <w:abstractNumId w:val="18"/>
  </w:num>
  <w:num w:numId="24">
    <w:abstractNumId w:val="7"/>
  </w:num>
  <w:num w:numId="25">
    <w:abstractNumId w:val="23"/>
  </w:num>
  <w:num w:numId="26">
    <w:abstractNumId w:val="0"/>
  </w:num>
  <w:num w:numId="27">
    <w:abstractNumId w:val="16"/>
  </w:num>
  <w:num w:numId="28">
    <w:abstractNumId w:val="2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AF071F"/>
    <w:rsid w:val="0EE77EB9"/>
    <w:rsid w:val="122C4729"/>
    <w:rsid w:val="1514752E"/>
    <w:rsid w:val="1B5F527B"/>
    <w:rsid w:val="213D605E"/>
    <w:rsid w:val="21BA145D"/>
    <w:rsid w:val="2593624D"/>
    <w:rsid w:val="2D3046A6"/>
    <w:rsid w:val="30EE4C7F"/>
    <w:rsid w:val="37865C12"/>
    <w:rsid w:val="3DFD4754"/>
    <w:rsid w:val="42C936B7"/>
    <w:rsid w:val="442E5667"/>
    <w:rsid w:val="473311E6"/>
    <w:rsid w:val="48831CF9"/>
    <w:rsid w:val="4A8045CA"/>
    <w:rsid w:val="4CF3744D"/>
    <w:rsid w:val="4CF82CB6"/>
    <w:rsid w:val="4EBB3F9B"/>
    <w:rsid w:val="4EDE5EDB"/>
    <w:rsid w:val="500E572B"/>
    <w:rsid w:val="532A16EF"/>
    <w:rsid w:val="583B614D"/>
    <w:rsid w:val="59653481"/>
    <w:rsid w:val="5BCD355F"/>
    <w:rsid w:val="5C4750C0"/>
    <w:rsid w:val="5DD24E5D"/>
    <w:rsid w:val="603C0CB4"/>
    <w:rsid w:val="61446072"/>
    <w:rsid w:val="663F32AC"/>
    <w:rsid w:val="76A809F9"/>
    <w:rsid w:val="79224A93"/>
    <w:rsid w:val="7D853842"/>
    <w:rsid w:val="7E6B2A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3388</Words>
  <Characters>4518</Characters>
  <TotalTime>0</TotalTime>
  <ScaleCrop>false</ScaleCrop>
  <LinksUpToDate>false</LinksUpToDate>
  <CharactersWithSpaces>4562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2026-05-13T03:24:00Z</dcterms:created>
  <dc:creator>Apache POI</dc:creator>
  <cp:lastModifiedBy>小阿郜</cp:lastModifiedBy>
  <dcterms:modified xsi:type="dcterms:W3CDTF">2026-06-26T09:31:02Z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eyJoZGlkIjoiOTM4NmU4ZDFmNmFmMmNiNzc1ODU0M2MzYzY3MTRkMDQiLCJ1c2VySWQiOiI2NzkwMzc5MTEifQ==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A11F0722079A4659A94538F9E69ACFF7_12</vt:lpwstr>
  </property>
</Properties>
</file>