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pPr>
    </w:p>
    <w:p>
      <w:pPr>
        <w:spacing w:after="40"/>
        <w:jc w:val="left"/>
      </w:pPr>
      <w:r>
        <w:rPr>
          <w:rFonts w:ascii="Arial" w:cs="Arial" w:eastAsia="Arial" w:hAnsi="Arial"/>
          <w:b/>
          <w:bCs/>
          <w:color w:val="890026"/>
          <w:sz w:val="20"/>
          <w:szCs w:val="20"/>
        </w:rPr>
        <w:t xml:space="preserve">A DISPO</w:t>
      </w:r>
    </w:p>
    <w:p>
      <w:pPr>
        <w:spacing w:after="200"/>
        <w:jc w:val="left"/>
      </w:pPr>
      <w:r>
        <w:rPr>
          <w:rFonts w:ascii="Arial" w:cs="Arial" w:eastAsia="Arial" w:hAnsi="Arial"/>
          <w:b/>
          <w:bCs/>
          <w:color w:val="191512"/>
          <w:sz w:val="52"/>
          <w:szCs w:val="52"/>
        </w:rPr>
        <w:t xml:space="preserve">Deposer la marque, et choisir par qui encaisser</w:t>
      </w:r>
    </w:p>
    <w:p>
      <w:pPr>
        <w:pBdr>
          <w:bottom w:val="single" w:color="890026" w:sz="12" w:space="8"/>
        </w:pBdr>
        <w:spacing w:after="300"/>
      </w:pPr>
    </w:p>
    <w:p>
      <w:pPr>
        <w:spacing w:after="500"/>
        <w:jc w:val="left"/>
      </w:pPr>
      <w:r>
        <w:rPr>
          <w:rFonts w:ascii="Calibri" w:cs="Calibri" w:eastAsia="Calibri" w:hAnsi="Calibri"/>
          <w:b w:val="false"/>
          <w:bCs w:val="false"/>
          <w:color w:val="5E5A56"/>
          <w:sz w:val="24"/>
          <w:szCs w:val="24"/>
        </w:rPr>
        <w:t xml:space="preserve">Dossier d'etude, 20 septembre 2026</w:t>
      </w:r>
    </w:p>
    <w:p>
      <w:pPr>
        <w:spacing w:after="100"/>
        <w:jc w:val="left"/>
      </w:pPr>
      <w:r>
        <w:rPr>
          <w:rFonts w:ascii="Calibri" w:cs="Calibri" w:eastAsia="Calibri" w:hAnsi="Calibri"/>
          <w:b w:val="false"/>
          <w:bCs w:val="false"/>
          <w:color w:val="191512"/>
          <w:sz w:val="21"/>
          <w:szCs w:val="21"/>
        </w:rPr>
        <w:t xml:space="preserve">Ce dossier reunit deux sujets qui conditionnent le lancement.</w:t>
      </w:r>
    </w:p>
    <w:p>
      <w:pPr>
        <w:pStyle w:val="ListParagraph"/>
        <w:numPr>
          <w:ilvl w:val="0"/>
          <w:numId w:val="2"/>
        </w:numPr>
        <w:spacing w:after="80"/>
      </w:pPr>
      <w:r>
        <w:rPr>
          <w:rFonts w:ascii="Calibri" w:cs="Calibri" w:eastAsia="Calibri" w:hAnsi="Calibri"/>
          <w:sz w:val="21"/>
          <w:szCs w:val="21"/>
        </w:rPr>
        <w:t xml:space="preserve">La protection juridique du projet, et la procedure exacte pour deposer la marque a l'INPI.</w:t>
      </w:r>
    </w:p>
    <w:p>
      <w:pPr>
        <w:pStyle w:val="ListParagraph"/>
        <w:numPr>
          <w:ilvl w:val="0"/>
          <w:numId w:val="2"/>
        </w:numPr>
        <w:spacing w:after="400"/>
      </w:pPr>
      <w:r>
        <w:rPr>
          <w:rFonts w:ascii="Calibri" w:cs="Calibri" w:eastAsia="Calibri" w:hAnsi="Calibri"/>
          <w:sz w:val="21"/>
          <w:szCs w:val="21"/>
        </w:rPr>
        <w:t xml:space="preserve">Le choix du prestataire de paiement pour les abonnements, explique sans jargon et chiffre.</w:t>
      </w:r>
    </w:p>
    <w:tbl>
      <w:tblPr>
        <w:tblW w:type="dxa" w:w="9026"/>
        <w:tblBorders>
          <w:top w:val="single" w:color="890026" w:sz="4"/>
          <w:left w:val="single" w:color="890026" w:sz="24"/>
          <w:bottom w:val="single" w:color="890026" w:sz="4"/>
          <w:right w:val="single" w:color="890026"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890026"/>
                <w:sz w:val="21"/>
                <w:szCs w:val="21"/>
              </w:rPr>
              <w:t xml:space="preserve">Comment lire ce dossier</w:t>
            </w:r>
          </w:p>
          <w:p>
            <w:pPr>
              <w:spacing w:after="90" w:line="276"/>
            </w:pPr>
            <w:r>
              <w:rPr>
                <w:rFonts w:ascii="Calibri" w:cs="Calibri" w:eastAsia="Calibri" w:hAnsi="Calibri"/>
                <w:b/>
                <w:bCs/>
                <w:i w:val="false"/>
                <w:iCs w:val="false"/>
                <w:color w:val="191512"/>
                <w:sz w:val="21"/>
                <w:szCs w:val="21"/>
              </w:rPr>
              <w:t xml:space="preserve">Chaque chiffre porte sa source et la date a laquelle elle a ete lue.</w:t>
            </w:r>
            <w:r>
              <w:rPr>
                <w:rFonts w:ascii="Calibri" w:cs="Calibri" w:eastAsia="Calibri" w:hAnsi="Calibri"/>
                <w:b w:val="false"/>
                <w:bCs w:val="false"/>
                <w:i w:val="false"/>
                <w:iCs w:val="false"/>
                <w:color w:val="191512"/>
                <w:sz w:val="21"/>
                <w:szCs w:val="21"/>
              </w:rPr>
              <w:t xml:space="preserve"> Ce qui n'a pas pu etre verifie est ecrit « a verifier », et jamais comble par une valeur plausible.</w:t>
            </w:r>
          </w:p>
          <w:p>
            <w:pPr>
              <w:spacing w:after="90" w:line="276"/>
            </w:pPr>
            <w:r>
              <w:rPr>
                <w:rFonts w:ascii="Calibri" w:cs="Calibri" w:eastAsia="Calibri" w:hAnsi="Calibri"/>
                <w:b w:val="false"/>
                <w:bCs w:val="false"/>
                <w:i w:val="false"/>
                <w:iCs w:val="false"/>
                <w:color w:val="191512"/>
                <w:sz w:val="21"/>
                <w:szCs w:val="21"/>
              </w:rPr>
              <w:t xml:space="preserve">Les FAITS issus des sources officielles, les INTERPRETATIONS et les RECOMMANDATIONS sont distingues partout.</w:t>
            </w:r>
          </w:p>
          <w:p>
            <w:pPr>
              <w:spacing w:after="0" w:line="276"/>
            </w:pPr>
            <w:r>
              <w:rPr>
                <w:rFonts w:ascii="Calibri" w:cs="Calibri" w:eastAsia="Calibri" w:hAnsi="Calibri"/>
                <w:b/>
                <w:bCs/>
                <w:i w:val="false"/>
                <w:iCs w:val="false"/>
                <w:color w:val="191512"/>
                <w:sz w:val="21"/>
                <w:szCs w:val="21"/>
              </w:rPr>
              <w:t xml:space="preserve">Ce dossier n'est pas une consultation juridique.</w:t>
            </w:r>
            <w:r>
              <w:rPr>
                <w:rFonts w:ascii="Calibri" w:cs="Calibri" w:eastAsia="Calibri" w:hAnsi="Calibri"/>
                <w:b w:val="false"/>
                <w:bCs w:val="false"/>
                <w:i w:val="false"/>
                <w:iCs w:val="false"/>
                <w:color w:val="191512"/>
                <w:sz w:val="21"/>
                <w:szCs w:val="21"/>
              </w:rPr>
              <w:t xml:space="preserve"> Le dernier chapitre dit precisement ou l'avis d'un conseil en propriete industrielle devient necessaire.</w:t>
            </w:r>
          </w:p>
        </w:tc>
      </w:tr>
    </w:tbl>
    <w:p>
      <w:pPr>
        <w:spacing w:after="220"/>
      </w:pPr>
    </w:p>
    <w:p>
      <w:r>
        <w:br w:type="page"/>
      </w:r>
    </w:p>
    <w:p>
      <w:pPr>
        <w:pStyle w:val="Heading1"/>
        <w:spacing w:after="160"/>
      </w:pPr>
      <w:r>
        <w:rPr>
          <w:rFonts w:ascii="Arial" w:cs="Arial" w:eastAsia="Arial" w:hAnsi="Arial"/>
          <w:b/>
          <w:bCs/>
          <w:color w:val="191512"/>
          <w:sz w:val="32"/>
          <w:szCs w:val="32"/>
        </w:rP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890026" w:sz="10" w:space="6"/>
        </w:pBdr>
        <w:spacing w:after="180" w:before="380"/>
      </w:pPr>
      <w:r>
        <w:rPr>
          <w:rFonts w:ascii="Arial" w:cs="Arial" w:eastAsia="Arial" w:hAnsi="Arial"/>
          <w:b/>
          <w:bCs/>
          <w:color w:val="191512"/>
          <w:sz w:val="32"/>
          <w:szCs w:val="32"/>
        </w:rPr>
        <w:t xml:space="preserve">Resume executif</w:t>
      </w:r>
    </w:p>
    <w:p>
      <w:pPr>
        <w:pStyle w:val="Heading2"/>
        <w:spacing w:after="130" w:before="300"/>
      </w:pPr>
      <w:r>
        <w:rPr>
          <w:rFonts w:ascii="Arial" w:cs="Arial" w:eastAsia="Arial" w:hAnsi="Arial"/>
          <w:b/>
          <w:bCs/>
          <w:color w:val="191512"/>
          <w:sz w:val="25"/>
          <w:szCs w:val="25"/>
        </w:rPr>
        <w:t xml:space="preserve">Sur la marque</w:t>
      </w:r>
    </w:p>
    <w:p>
      <w:pPr>
        <w:pStyle w:val="ListParagraph"/>
        <w:numPr>
          <w:ilvl w:val="0"/>
          <w:numId w:val="3"/>
        </w:numPr>
        <w:spacing w:after="70" w:line="264"/>
      </w:pPr>
      <w:r>
        <w:rPr>
          <w:rFonts w:ascii="Calibri" w:cs="Calibri" w:eastAsia="Calibri" w:hAnsi="Calibri"/>
          <w:b/>
          <w:bCs/>
          <w:i w:val="false"/>
          <w:iCs w:val="false"/>
          <w:color w:val="191512"/>
          <w:sz w:val="21"/>
          <w:szCs w:val="21"/>
        </w:rPr>
        <w:t xml:space="preserve">Une idee ne se protege pas.</w:t>
      </w:r>
      <w:r>
        <w:rPr>
          <w:rFonts w:ascii="Calibri" w:cs="Calibri" w:eastAsia="Calibri" w:hAnsi="Calibri"/>
          <w:b w:val="false"/>
          <w:bCs w:val="false"/>
          <w:i w:val="false"/>
          <w:iCs w:val="false"/>
          <w:color w:val="191512"/>
          <w:sz w:val="21"/>
          <w:szCs w:val="21"/>
        </w:rPr>
        <w:t xml:space="preserve"> Ce qui se protege, c'est le NOM (par la marque), la FORME de ce qu'on ecrit (par le droit d'auteur, automatiquement) et ce qu'on verrouille par CONTRAT. Le concept lui-meme est copiable, legalement.</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depot de marque francaise coute </w:t>
      </w:r>
      <w:r>
        <w:rPr>
          <w:rFonts w:ascii="Calibri" w:cs="Calibri" w:eastAsia="Calibri" w:hAnsi="Calibri"/>
          <w:b/>
          <w:bCs/>
          <w:i w:val="false"/>
          <w:iCs w:val="false"/>
          <w:color w:val="191512"/>
          <w:sz w:val="21"/>
          <w:szCs w:val="21"/>
        </w:rPr>
        <w:t xml:space="preserve">190 euros pour une classe, plus 40 euros par classe</w:t>
      </w:r>
      <w:r>
        <w:rPr>
          <w:rFonts w:ascii="Calibri" w:cs="Calibri" w:eastAsia="Calibri" w:hAnsi="Calibri"/>
          <w:b w:val="false"/>
          <w:bCs w:val="false"/>
          <w:i w:val="false"/>
          <w:iCs w:val="false"/>
          <w:color w:val="191512"/>
          <w:sz w:val="21"/>
          <w:szCs w:val="21"/>
        </w:rPr>
        <w:t xml:space="preserve">, et protege dix ans, renouvelables sans limite. Pour trois classes : 270 euros.</w:t>
      </w:r>
    </w:p>
    <w:p>
      <w:pPr>
        <w:pStyle w:val="ListParagraph"/>
        <w:numPr>
          <w:ilvl w:val="0"/>
          <w:numId w:val="3"/>
        </w:numPr>
        <w:spacing w:after="70" w:line="264"/>
      </w:pPr>
      <w:r>
        <w:rPr>
          <w:rFonts w:ascii="Calibri" w:cs="Calibri" w:eastAsia="Calibri" w:hAnsi="Calibri"/>
          <w:b/>
          <w:bCs/>
          <w:i w:val="false"/>
          <w:iCs w:val="false"/>
          <w:color w:val="9A3208"/>
          <w:sz w:val="21"/>
          <w:szCs w:val="21"/>
        </w:rPr>
        <w:t xml:space="preserve">Il y a un probleme serieux sur le nom.</w:t>
      </w:r>
      <w:r>
        <w:rPr>
          <w:rFonts w:ascii="Calibri" w:cs="Calibri" w:eastAsia="Calibri" w:hAnsi="Calibri"/>
          <w:b w:val="false"/>
          <w:bCs w:val="false"/>
          <w:i w:val="false"/>
          <w:iCs w:val="false"/>
          <w:color w:val="191512"/>
          <w:sz w:val="21"/>
          <w:szCs w:val="21"/>
        </w:rPr>
        <w:t xml:space="preserve"> « a dispo » est l'abreviation de « a disposition », et le service vend justement de la mise a disposition. L'article L711-2 du code de la propriete intellectuelle refuse les signes qui decrivent une caracteristique du service. Ce point est developpe au chapitre 5, et il doit etre tranche AVANT de payer.</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L'e-Soleau (15 euros) ne protege rien : elle </w:t>
      </w:r>
      <w:r>
        <w:rPr>
          <w:rFonts w:ascii="Calibri" w:cs="Calibri" w:eastAsia="Calibri" w:hAnsi="Calibri"/>
          <w:b/>
          <w:bCs/>
          <w:i w:val="false"/>
          <w:iCs w:val="false"/>
          <w:color w:val="191512"/>
          <w:sz w:val="21"/>
          <w:szCs w:val="21"/>
        </w:rPr>
        <w:t xml:space="preserve">prouve une date</w:t>
      </w:r>
      <w:r>
        <w:rPr>
          <w:rFonts w:ascii="Calibri" w:cs="Calibri" w:eastAsia="Calibri" w:hAnsi="Calibri"/>
          <w:b w:val="false"/>
          <w:bCs w:val="false"/>
          <w:i w:val="false"/>
          <w:iCs w:val="false"/>
          <w:color w:val="191512"/>
          <w:sz w:val="21"/>
          <w:szCs w:val="21"/>
        </w:rPr>
        <w:t xml:space="preserve">. Elle est utile, elle n'est pas prioritaire.</w:t>
      </w:r>
    </w:p>
    <w:p>
      <w:pPr>
        <w:pStyle w:val="Heading2"/>
        <w:spacing w:after="130" w:before="300"/>
      </w:pPr>
      <w:r>
        <w:rPr>
          <w:rFonts w:ascii="Arial" w:cs="Arial" w:eastAsia="Arial" w:hAnsi="Arial"/>
          <w:b/>
          <w:bCs/>
          <w:color w:val="191512"/>
          <w:sz w:val="25"/>
          <w:szCs w:val="25"/>
        </w:rPr>
        <w:t xml:space="preserve">Sur le paiement</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La vraie question n'est pas « BNP ou Stripe », mais </w:t>
      </w:r>
      <w:r>
        <w:rPr>
          <w:rFonts w:ascii="Calibri" w:cs="Calibri" w:eastAsia="Calibri" w:hAnsi="Calibri"/>
          <w:b/>
          <w:bCs/>
          <w:i w:val="false"/>
          <w:iCs w:val="false"/>
          <w:color w:val="191512"/>
          <w:sz w:val="21"/>
          <w:szCs w:val="21"/>
        </w:rPr>
        <w:t xml:space="preserve">carte ou prelevement</w:t>
      </w:r>
      <w:r>
        <w:rPr>
          <w:rFonts w:ascii="Calibri" w:cs="Calibri" w:eastAsia="Calibri" w:hAnsi="Calibri"/>
          <w:b w:val="false"/>
          <w:bCs w:val="false"/>
          <w:i w:val="false"/>
          <w:iCs w:val="false"/>
          <w:color w:val="191512"/>
          <w:sz w:val="21"/>
          <w:szCs w:val="21"/>
        </w:rPr>
        <w:t xml:space="preserve">, et </w:t>
      </w:r>
      <w:r>
        <w:rPr>
          <w:rFonts w:ascii="Calibri" w:cs="Calibri" w:eastAsia="Calibri" w:hAnsi="Calibri"/>
          <w:b/>
          <w:bCs/>
          <w:i w:val="false"/>
          <w:iCs w:val="false"/>
          <w:color w:val="191512"/>
          <w:sz w:val="21"/>
          <w:szCs w:val="21"/>
        </w:rPr>
        <w:t xml:space="preserve">acheter le carnet de comptes ou l'ecrire</w:t>
      </w:r>
      <w:r>
        <w:rPr>
          <w:rFonts w:ascii="Calibri" w:cs="Calibri" w:eastAsia="Calibri" w:hAnsi="Calibri"/>
          <w:b w:val="false"/>
          <w:bCs w:val="false"/>
          <w:i w:val="false"/>
          <w:iCs w:val="false"/>
          <w:color w:val="191512"/>
          <w:sz w:val="21"/>
          <w:szCs w:val="21"/>
        </w:rPr>
        <w:t xml:space="preserve">. Ces deux choix pesent bien plus lourd que le nom du prestataire.</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BNP Axepta vend la caisse, pas le carnet : ni abonnement recurrent gere, ni facture, ni relance d'impaye. </w:t>
      </w:r>
      <w:r>
        <w:rPr>
          <w:rFonts w:ascii="Calibri" w:cs="Calibri" w:eastAsia="Calibri" w:hAnsi="Calibri"/>
          <w:b/>
          <w:bCs/>
          <w:i w:val="false"/>
          <w:iCs w:val="false"/>
          <w:color w:val="191512"/>
          <w:sz w:val="21"/>
          <w:szCs w:val="21"/>
        </w:rPr>
        <w:t xml:space="preserve">Environ 20 jours de developpement</w:t>
      </w:r>
      <w:r>
        <w:rPr>
          <w:rFonts w:ascii="Calibri" w:cs="Calibri" w:eastAsia="Calibri" w:hAnsi="Calibri"/>
          <w:b w:val="false"/>
          <w:bCs w:val="false"/>
          <w:i w:val="false"/>
          <w:iCs w:val="false"/>
          <w:color w:val="191512"/>
          <w:sz w:val="21"/>
          <w:szCs w:val="21"/>
        </w:rPr>
        <w:t xml:space="preserve"> a prevoir, soit 6 000 euros.</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prelevement SEPA coute </w:t>
      </w:r>
      <w:r>
        <w:rPr>
          <w:rFonts w:ascii="Calibri" w:cs="Calibri" w:eastAsia="Calibri" w:hAnsi="Calibri"/>
          <w:b/>
          <w:bCs/>
          <w:i w:val="false"/>
          <w:iCs w:val="false"/>
          <w:color w:val="191512"/>
          <w:sz w:val="21"/>
          <w:szCs w:val="21"/>
        </w:rPr>
        <w:t xml:space="preserve">0,35 euro fixe chez Stripe</w:t>
      </w:r>
      <w:r>
        <w:rPr>
          <w:rFonts w:ascii="Calibri" w:cs="Calibri" w:eastAsia="Calibri" w:hAnsi="Calibri"/>
          <w:b w:val="false"/>
          <w:bCs w:val="false"/>
          <w:i w:val="false"/>
          <w:iCs w:val="false"/>
          <w:color w:val="191512"/>
          <w:sz w:val="21"/>
          <w:szCs w:val="21"/>
        </w:rPr>
        <w:t xml:space="preserve">, contre 0,91 a 1,06 euro pour une carte avec Billing. Trois fois moins cher, et l'abonnement ne meurt plus quand une carte expire.</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Sur cinq ans : Stripe en prelevement 41 070 euros, BNP 48 252, Stripe carte avec Billing 106 541. </w:t>
      </w:r>
      <w:r>
        <w:rPr>
          <w:rFonts w:ascii="Calibri" w:cs="Calibri" w:eastAsia="Calibri" w:hAnsi="Calibri"/>
          <w:b/>
          <w:bCs/>
          <w:i w:val="false"/>
          <w:iCs w:val="false"/>
          <w:color w:val="191512"/>
          <w:sz w:val="21"/>
          <w:szCs w:val="21"/>
        </w:rPr>
        <w:t xml:space="preserve">Comme le carnet est a ecrire des deux cotes, BNP ne rattrape jamais Stripe en prelevement.</w:t>
      </w:r>
    </w:p>
    <w:p>
      <w:pPr>
        <w:pStyle w:val="Heading2"/>
        <w:spacing w:after="130" w:before="300"/>
      </w:pPr>
      <w:r>
        <w:rPr>
          <w:rFonts w:ascii="Arial" w:cs="Arial" w:eastAsia="Arial" w:hAnsi="Arial"/>
          <w:b/>
          <w:bCs/>
          <w:color w:val="191512"/>
          <w:sz w:val="25"/>
          <w:szCs w:val="25"/>
        </w:rPr>
        <w:t xml:space="preserve">Les trois choses a faire cette semaine</w:t>
      </w:r>
    </w:p>
    <w:tbl>
      <w:tblPr>
        <w:tblW w:type="dxa" w:w="9026"/>
        <w:tblBorders>
          <w:top w:val="single" w:color="C9C4BA" w:sz="4"/>
          <w:left w:val="none" w:sz="0"/>
          <w:bottom w:val="single" w:color="C9C4BA" w:sz="4"/>
          <w:right w:val="none" w:sz="0"/>
          <w:insideH w:val="single" w:color="DDD8CE" w:sz="2"/>
          <w:insideV w:val="none" w:sz="0"/>
        </w:tblBorders>
      </w:tblPr>
      <w:tblGrid>
        <w:gridCol w:w="2166"/>
        <w:gridCol w:w="2347"/>
        <w:gridCol w:w="4513"/>
      </w:tblGrid>
      <w:tr>
        <w:trPr>
          <w:tblHeader/>
        </w:trPr>
        <w:tc>
          <w:tcPr>
            <w:tcW w:type="dxa" w:w="2166"/>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Quoi</w:t>
            </w:r>
          </w:p>
        </w:tc>
        <w:tc>
          <w:tcPr>
            <w:tcW w:type="dxa" w:w="2347"/>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Aupres de qui</w:t>
            </w:r>
          </w:p>
        </w:tc>
        <w:tc>
          <w:tcPr>
            <w:tcW w:type="dxa" w:w="4513"/>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Pourquoi maintenant</w:t>
            </w:r>
          </w:p>
        </w:tc>
      </w:tr>
      <w:tr>
        <w:tc>
          <w:tcPr>
            <w:tcW w:type="dxa" w:w="2166"/>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Trancher le nom</w:t>
            </w:r>
          </w:p>
        </w:tc>
        <w:tc>
          <w:tcPr>
            <w:tcW w:type="dxa" w:w="234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Conseil en propriete industrielle</w:t>
            </w:r>
          </w:p>
        </w:tc>
        <w:tc>
          <w:tcPr>
            <w:tcW w:type="dxa" w:w="4513"/>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risque de refus pour caractere descriptif se traite AVANT le depot, pas apres. Une consultation coute moins cher qu'un depot perdu.</w:t>
            </w:r>
          </w:p>
        </w:tc>
      </w:tr>
      <w:tr>
        <w:tc>
          <w:tcPr>
            <w:tcW w:type="dxa" w:w="2166"/>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Poser la question n 1 a la BNP</w:t>
            </w:r>
          </w:p>
        </w:tc>
        <w:tc>
          <w:tcPr>
            <w:tcW w:type="dxa" w:w="2347"/>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Ton conseiller</w:t>
            </w:r>
          </w:p>
        </w:tc>
        <w:tc>
          <w:tcPr>
            <w:tcW w:type="dxa" w:w="4513"/>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Savoir si les taux annonces sont tout compris. La reponse fait basculer toute la comparaison.</w:t>
            </w:r>
          </w:p>
        </w:tc>
      </w:tr>
      <w:tr>
        <w:tc>
          <w:tcPr>
            <w:tcW w:type="dxa" w:w="2166"/>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Deposer une e-Soleau</w:t>
            </w:r>
          </w:p>
        </w:tc>
        <w:tc>
          <w:tcPr>
            <w:tcW w:type="dxa" w:w="234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inpi.fr, en ligne</w:t>
            </w:r>
          </w:p>
        </w:tc>
        <w:tc>
          <w:tcPr>
            <w:tcW w:type="dxa" w:w="4513"/>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15 euros, une heure de travail. Elle date les maquettes et l'architecture avant toute presentation a un tiers.</w:t>
            </w:r>
          </w:p>
        </w:tc>
      </w:tr>
    </w:tbl>
    <w:p>
      <w:r>
        <w:br w:type="page"/>
      </w:r>
    </w:p>
    <w:p>
      <w:pPr>
        <w:pStyle w:val="Heading1"/>
        <w:pBdr>
          <w:bottom w:val="single" w:color="890026" w:sz="10" w:space="6"/>
        </w:pBdr>
        <w:spacing w:after="180" w:before="380"/>
      </w:pPr>
      <w:r>
        <w:rPr>
          <w:rFonts w:ascii="Arial" w:cs="Arial" w:eastAsia="Arial" w:hAnsi="Arial"/>
          <w:b/>
          <w:bCs/>
          <w:color w:val="191512"/>
          <w:sz w:val="32"/>
          <w:szCs w:val="32"/>
        </w:rPr>
        <w:t xml:space="preserve">Partie 1. Proteger le projet</w:t>
      </w:r>
    </w:p>
    <w:p>
      <w:pPr>
        <w:pStyle w:val="Heading2"/>
        <w:spacing w:after="130" w:before="300"/>
      </w:pPr>
      <w:r>
        <w:rPr>
          <w:rFonts w:ascii="Arial" w:cs="Arial" w:eastAsia="Arial" w:hAnsi="Arial"/>
          <w:b/>
          <w:bCs/>
          <w:color w:val="191512"/>
          <w:sz w:val="25"/>
          <w:szCs w:val="25"/>
        </w:rPr>
        <w:t xml:space="preserve">1. Peut-on proteger une idee ? Non.</w:t>
      </w:r>
    </w:p>
    <w:p>
      <w:pPr>
        <w:spacing w:after="140" w:line="276"/>
        <w:jc w:val="left"/>
      </w:pPr>
      <w:r>
        <w:rPr>
          <w:rFonts w:ascii="Calibri" w:cs="Calibri" w:eastAsia="Calibri" w:hAnsi="Calibri"/>
          <w:b w:val="false"/>
          <w:bCs w:val="false"/>
          <w:i w:val="false"/>
          <w:iCs w:val="false"/>
          <w:color w:val="191512"/>
          <w:sz w:val="21"/>
          <w:szCs w:val="21"/>
        </w:rPr>
        <w:t xml:space="preserve">C'est le principe le plus important de toute cette partie, et le plus mal connu : </w:t>
      </w:r>
      <w:r>
        <w:rPr>
          <w:rFonts w:ascii="Calibri" w:cs="Calibri" w:eastAsia="Calibri" w:hAnsi="Calibri"/>
          <w:b/>
          <w:bCs/>
          <w:i w:val="false"/>
          <w:iCs w:val="false"/>
          <w:color w:val="191512"/>
          <w:sz w:val="21"/>
          <w:szCs w:val="21"/>
        </w:rPr>
        <w:t xml:space="preserve">une idee n'est protegeable par personne, nulle part, jamais.</w:t>
      </w:r>
      <w:r>
        <w:rPr>
          <w:rFonts w:ascii="Calibri" w:cs="Calibri" w:eastAsia="Calibri" w:hAnsi="Calibri"/>
          <w:b w:val="false"/>
          <w:bCs w:val="false"/>
          <w:i w:val="false"/>
          <w:iCs w:val="false"/>
          <w:color w:val="191512"/>
          <w:sz w:val="21"/>
          <w:szCs w:val="21"/>
        </w:rPr>
        <w:t xml:space="preserve"> Le droit francais ne protege pas ce qu'on pense, il protege ce qu'on a MIS EN FORME et ce qu'on a DEPOSE.</w:t>
      </w:r>
    </w:p>
    <w:p>
      <w:pPr>
        <w:spacing w:after="140" w:line="276"/>
        <w:jc w:val="left"/>
      </w:pPr>
      <w:r>
        <w:rPr>
          <w:rFonts w:ascii="Calibri" w:cs="Calibri" w:eastAsia="Calibri" w:hAnsi="Calibri"/>
          <w:b w:val="false"/>
          <w:bCs w:val="false"/>
          <w:i w:val="false"/>
          <w:iCs w:val="false"/>
          <w:color w:val="191512"/>
          <w:sz w:val="21"/>
          <w:szCs w:val="21"/>
        </w:rPr>
        <w:t xml:space="preserve">« Une plateforme ou des artisans se passent des chantiers quand ils sont surcharges » est une idee. Elle peut etre reprise demain matin par n'importe qui, legalement. Ce qui se protege, ce sont les objets concrets qui la realisent.</w:t>
      </w:r>
    </w:p>
    <w:p>
      <w:pPr>
        <w:pStyle w:val="Heading3"/>
        <w:spacing w:after="100" w:before="220"/>
      </w:pPr>
      <w:r>
        <w:rPr>
          <w:rFonts w:ascii="Arial" w:cs="Arial" w:eastAsia="Arial" w:hAnsi="Arial"/>
          <w:b/>
          <w:bCs/>
          <w:color w:val="890026"/>
          <w:sz w:val="22"/>
          <w:szCs w:val="22"/>
        </w:rPr>
        <w:t xml:space="preserve">Ce qui se protege, et ce qui ne se protege pas</w:t>
      </w:r>
    </w:p>
    <w:tbl>
      <w:tblPr>
        <w:tblW w:type="dxa" w:w="9026"/>
        <w:tblBorders>
          <w:top w:val="single" w:color="C9C4BA" w:sz="4"/>
          <w:left w:val="none" w:sz="0"/>
          <w:bottom w:val="single" w:color="C9C4BA" w:sz="4"/>
          <w:right w:val="none" w:sz="0"/>
          <w:insideH w:val="single" w:color="DDD8CE" w:sz="2"/>
          <w:insideV w:val="none" w:sz="0"/>
        </w:tblBorders>
      </w:tblPr>
      <w:tblGrid>
        <w:gridCol w:w="2347"/>
        <w:gridCol w:w="1534"/>
        <w:gridCol w:w="5145"/>
      </w:tblGrid>
      <w:tr>
        <w:trPr>
          <w:tblHeader/>
        </w:trPr>
        <w:tc>
          <w:tcPr>
            <w:tcW w:type="dxa" w:w="2347"/>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L'objet</w:t>
            </w:r>
          </w:p>
        </w:tc>
        <w:tc>
          <w:tcPr>
            <w:tcW w:type="dxa" w:w="153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Protegeable ?</w:t>
            </w:r>
          </w:p>
        </w:tc>
        <w:tc>
          <w:tcPr>
            <w:tcW w:type="dxa" w:w="5145"/>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Par quoi, et a quelle condition</w:t>
            </w:r>
          </w:p>
        </w:tc>
      </w:tr>
      <w:tr>
        <w:tc>
          <w:tcPr>
            <w:tcW w:type="dxa" w:w="2347"/>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L'idee</w:t>
            </w:r>
          </w:p>
        </w:tc>
        <w:tc>
          <w:tcPr>
            <w:tcW w:type="dxa" w:w="1534"/>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NON</w:t>
            </w:r>
          </w:p>
        </w:tc>
        <w:tc>
          <w:tcPr>
            <w:tcW w:type="dxa" w:w="514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Rien. De libre parcours. Seul un contrat de confidentialite peut en limiter la circulation, et seulement entre les signataires.</w:t>
            </w:r>
          </w:p>
        </w:tc>
      </w:tr>
      <w:tr>
        <w:tc>
          <w:tcPr>
            <w:tcW w:type="dxa" w:w="2347"/>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Le concept</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NON</w:t>
            </w:r>
          </w:p>
        </w:tc>
        <w:tc>
          <w:tcPr>
            <w:tcW w:type="dxa" w:w="514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Un concept n'est qu'une idee mieux habillee. Meme sort.</w:t>
            </w:r>
          </w:p>
        </w:tc>
      </w:tr>
      <w:tr>
        <w:tc>
          <w:tcPr>
            <w:tcW w:type="dxa" w:w="234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La methode commerciale</w:t>
            </w:r>
          </w:p>
        </w:tc>
        <w:tc>
          <w:tcPr>
            <w:tcW w:type="dxa" w:w="1534"/>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NON</w:t>
            </w:r>
          </w:p>
        </w:tc>
        <w:tc>
          <w:tcPr>
            <w:tcW w:type="dxa" w:w="514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Une facon de faire des affaires n'est ni une invention brevetable ni une oeuvre.</w:t>
            </w:r>
          </w:p>
        </w:tc>
      </w:tr>
      <w:tr>
        <w:tc>
          <w:tcPr>
            <w:tcW w:type="dxa" w:w="2347"/>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Le nom</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OUI</w:t>
            </w:r>
          </w:p>
        </w:tc>
        <w:tc>
          <w:tcPr>
            <w:tcW w:type="dxa" w:w="514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depot de marque. C'est LA protection centrale d'un projet comme celui-ci.</w:t>
            </w:r>
          </w:p>
        </w:tc>
      </w:tr>
      <w:tr>
        <w:tc>
          <w:tcPr>
            <w:tcW w:type="dxa" w:w="234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L'identite visuelle (logo, charte)</w:t>
            </w:r>
          </w:p>
        </w:tc>
        <w:tc>
          <w:tcPr>
            <w:tcW w:type="dxa" w:w="1534"/>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OUI</w:t>
            </w:r>
          </w:p>
        </w:tc>
        <w:tc>
          <w:tcPr>
            <w:tcW w:type="dxa" w:w="514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Droit d'auteur des la creation si elle est originale, et marque semi-figurative si le logo est depose avec le nom.</w:t>
            </w:r>
          </w:p>
        </w:tc>
      </w:tr>
      <w:tr>
        <w:tc>
          <w:tcPr>
            <w:tcW w:type="dxa" w:w="2347"/>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Les maquettes et l'interface</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OUI</w:t>
            </w:r>
          </w:p>
        </w:tc>
        <w:tc>
          <w:tcPr>
            <w:tcW w:type="dxa" w:w="514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Droit d'auteur sur la FORME (dessins, textes, agencement) si elle est originale. Pas sur la fonction.</w:t>
            </w:r>
          </w:p>
        </w:tc>
      </w:tr>
      <w:tr>
        <w:tc>
          <w:tcPr>
            <w:tcW w:type="dxa" w:w="2347"/>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Le logiciel</w:t>
            </w:r>
          </w:p>
        </w:tc>
        <w:tc>
          <w:tcPr>
            <w:tcW w:type="dxa" w:w="1534"/>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OUI</w:t>
            </w:r>
          </w:p>
        </w:tc>
        <w:tc>
          <w:tcPr>
            <w:tcW w:type="dxa" w:w="514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Droit d'auteur, automatiquement : le code source, le code objet et le materiel de conception preparatoire. Article L112-2 13 du code de la propriete intellectuelle.</w:t>
            </w:r>
          </w:p>
        </w:tc>
      </w:tr>
      <w:tr>
        <w:tc>
          <w:tcPr>
            <w:tcW w:type="dxa" w:w="2347"/>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Les fonctionnalites du logiciel</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NON</w:t>
            </w:r>
          </w:p>
        </w:tc>
        <w:tc>
          <w:tcPr>
            <w:tcW w:type="dxa" w:w="514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Un concurrent peut refaire les MEMES fonctions avec son propre code, legalement. Seule l'ecriture est protegee, pas ce qu'elle fait.</w:t>
            </w:r>
          </w:p>
        </w:tc>
      </w:tr>
      <w:tr>
        <w:tc>
          <w:tcPr>
            <w:tcW w:type="dxa" w:w="2347"/>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La base de donnees</w:t>
            </w:r>
          </w:p>
        </w:tc>
        <w:tc>
          <w:tcPr>
            <w:tcW w:type="dxa" w:w="1534"/>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OUI</w:t>
            </w:r>
          </w:p>
        </w:tc>
        <w:tc>
          <w:tcPr>
            <w:tcW w:type="dxa" w:w="514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Deux protections cumulables : droit d'auteur sur la structure si elle est originale, et droit du producteur si la constitution a demande un investissement substantiel. Article L341-1.</w:t>
            </w:r>
          </w:p>
        </w:tc>
      </w:tr>
      <w:tr>
        <w:tc>
          <w:tcPr>
            <w:tcW w:type="dxa" w:w="2347"/>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savoir-faire</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EN PARTIE</w:t>
            </w:r>
          </w:p>
        </w:tc>
        <w:tc>
          <w:tcPr>
            <w:tcW w:type="dxa" w:w="514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Secret des affaires, a condition de prendre des mesures de protection reelles, et contrats de confidentialite.</w:t>
            </w:r>
          </w:p>
        </w:tc>
      </w:tr>
      <w:tr>
        <w:tc>
          <w:tcPr>
            <w:tcW w:type="dxa" w:w="234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Une invention technique</w:t>
            </w:r>
          </w:p>
        </w:tc>
        <w:tc>
          <w:tcPr>
            <w:tcW w:type="dxa" w:w="1534"/>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SOUS CONDITION</w:t>
            </w:r>
          </w:p>
        </w:tc>
        <w:tc>
          <w:tcPr>
            <w:tcW w:type="dxa" w:w="514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brevet, si l'invention est nouvelle, inventive et a effet technique. Un logiciel « en tant que tel » est exclu.</w:t>
            </w:r>
          </w:p>
        </w:tc>
      </w:tr>
    </w:tbl>
    <w:p>
      <w:pPr>
        <w:spacing w:after="160" w:line="240"/>
      </w:pPr>
      <w:r>
        <w:rPr>
          <w:rFonts w:ascii="Calibri" w:cs="Calibri" w:eastAsia="Calibri" w:hAnsi="Calibri"/>
          <w:i/>
          <w:iCs/>
          <w:color w:val="5E5A56"/>
          <w:sz w:val="16"/>
          <w:szCs w:val="16"/>
        </w:rPr>
        <w:t xml:space="preserve">Sources : code de la propriete intellectuelle, art. L112-2 (legifrance.gouv.fr/codes/article_lc/LEGIARTI000006278875), L112-3, L341-1 (LEGIARTI000006279245), consultes le 20/09/2026.</w:t>
      </w:r>
    </w:p>
    <w:tbl>
      <w:tblPr>
        <w:tblW w:type="dxa" w:w="9026"/>
        <w:tblBorders>
          <w:top w:val="single" w:color="890026" w:sz="4"/>
          <w:left w:val="single" w:color="890026" w:sz="24"/>
          <w:bottom w:val="single" w:color="890026" w:sz="4"/>
          <w:right w:val="single" w:color="890026"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890026"/>
                <w:sz w:val="21"/>
                <w:szCs w:val="21"/>
              </w:rPr>
              <w:t xml:space="preserve">La consequence pratique, a accepter</w:t>
            </w:r>
          </w:p>
          <w:p>
            <w:pPr>
              <w:spacing w:after="90" w:line="276"/>
            </w:pPr>
            <w:r>
              <w:rPr>
                <w:rFonts w:ascii="Calibri" w:cs="Calibri" w:eastAsia="Calibri" w:hAnsi="Calibri"/>
                <w:b w:val="false"/>
                <w:bCs w:val="false"/>
                <w:i w:val="false"/>
                <w:iCs w:val="false"/>
                <w:color w:val="191512"/>
                <w:sz w:val="21"/>
                <w:szCs w:val="21"/>
              </w:rPr>
              <w:t xml:space="preserve">Personne ne peut t'empecher de te faire copier le concept.</w:t>
            </w:r>
            <w:r>
              <w:rPr>
                <w:rFonts w:ascii="Calibri" w:cs="Calibri" w:eastAsia="Calibri" w:hAnsi="Calibri"/>
                <w:b w:val="false"/>
                <w:bCs w:val="false"/>
                <w:i w:val="false"/>
                <w:iCs w:val="false"/>
                <w:color w:val="191512"/>
                <w:sz w:val="21"/>
                <w:szCs w:val="21"/>
              </w:rPr>
              <w:t xml:space="preserve"> Ce qui te protege reellement est ailleurs : le NOM, sous lequel le marche te reconnaitra, et l'AVANCE que tu prends.</w:t>
            </w:r>
          </w:p>
          <w:p>
            <w:pPr>
              <w:spacing w:after="0" w:line="276"/>
            </w:pPr>
            <w:r>
              <w:rPr>
                <w:rFonts w:ascii="Calibri" w:cs="Calibri" w:eastAsia="Calibri" w:hAnsi="Calibri"/>
                <w:b/>
                <w:bCs/>
                <w:i w:val="false"/>
                <w:iCs w:val="false"/>
                <w:color w:val="191512"/>
                <w:sz w:val="21"/>
                <w:szCs w:val="21"/>
              </w:rPr>
              <w:t xml:space="preserve">C'est pourquoi la marque est la priorite, et non l'e-Soleau.</w:t>
            </w:r>
            <w:r>
              <w:rPr>
                <w:rFonts w:ascii="Calibri" w:cs="Calibri" w:eastAsia="Calibri" w:hAnsi="Calibri"/>
                <w:b w:val="false"/>
                <w:bCs w:val="false"/>
                <w:i w:val="false"/>
                <w:iCs w:val="false"/>
                <w:color w:val="191512"/>
                <w:sz w:val="21"/>
                <w:szCs w:val="21"/>
              </w:rPr>
              <w:t xml:space="preserve"> L'e-Soleau prouve une date, elle n'interdit rien a personne.</w:t>
            </w:r>
          </w:p>
        </w:tc>
      </w:tr>
    </w:tbl>
    <w:p>
      <w:pPr>
        <w:spacing w:after="220"/>
      </w:pPr>
    </w:p>
    <w:p>
      <w:pPr>
        <w:pStyle w:val="Heading2"/>
        <w:spacing w:after="130" w:before="300"/>
      </w:pPr>
      <w:r>
        <w:rPr>
          <w:rFonts w:ascii="Arial" w:cs="Arial" w:eastAsia="Arial" w:hAnsi="Arial"/>
          <w:b/>
          <w:bCs/>
          <w:color w:val="191512"/>
          <w:sz w:val="25"/>
          <w:szCs w:val="25"/>
        </w:rPr>
        <w:t xml:space="preserve">2. Reformulation du projet, en termes prudents</w:t>
      </w:r>
    </w:p>
    <w:p>
      <w:pPr>
        <w:spacing w:after="140" w:line="276"/>
        <w:jc w:val="left"/>
      </w:pPr>
      <w:r>
        <w:rPr>
          <w:rFonts w:ascii="Calibri" w:cs="Calibri" w:eastAsia="Calibri" w:hAnsi="Calibri"/>
          <w:b w:val="false"/>
          <w:bCs w:val="false"/>
          <w:i w:val="false"/>
          <w:iCs w:val="false"/>
          <w:color w:val="191512"/>
          <w:sz w:val="21"/>
          <w:szCs w:val="21"/>
        </w:rPr>
        <w:t xml:space="preserve">La description ci-dessous est une formulation professionnelle du projet. Elle sert a remplir des formulaires, a parler a un avocat ou a un financeur. Elle ne constitue par elle-meme AUCUNE protection.</w:t>
      </w:r>
    </w:p>
    <w:p>
      <w:pPr>
        <w:spacing w:after="140" w:line="276"/>
        <w:jc w:val="left"/>
      </w:pPr>
      <w:r>
        <w:rPr>
          <w:rFonts w:ascii="Calibri" w:cs="Calibri" w:eastAsia="Calibri" w:hAnsi="Calibri"/>
          <w:b w:val="false"/>
          <w:bCs w:val="false"/>
          <w:i/>
          <w:iCs/>
          <w:color w:val="191512"/>
          <w:sz w:val="21"/>
          <w:szCs w:val="21"/>
        </w:rPr>
        <w:t xml:space="preserve">« Service de mise en relation, par voie electronique, entre professionnels independants du secteur du batiment, permettant a un professionnel confronte a une indisponibilite, a une surcharge d'activite ou a une demande qu'il ne peut traiter, d'identifier d'autres professionnels susceptibles d'executer tout ou partie de la prestation ou d'y collaborer, en fonction de leurs disponibilites declarees, de leurs qualifications et de leur zone d'intervention. »</w:t>
      </w:r>
    </w:p>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Une precaution de vocabulaire qui n'est pas cosmetique</w:t>
            </w:r>
          </w:p>
          <w:p>
            <w:pPr>
              <w:spacing w:after="90" w:line="276"/>
            </w:pPr>
            <w:r>
              <w:rPr>
                <w:rFonts w:ascii="Calibri" w:cs="Calibri" w:eastAsia="Calibri" w:hAnsi="Calibri"/>
                <w:b w:val="false"/>
                <w:bCs w:val="false"/>
                <w:i w:val="false"/>
                <w:iCs w:val="false"/>
                <w:color w:val="191512"/>
                <w:sz w:val="21"/>
                <w:szCs w:val="21"/>
              </w:rPr>
              <w:t xml:space="preserve">N'ecris jamais que la plateforme « met a disposition de la main d'oeuvre », « fournit du personnel » ou « prete des salaries ». Le pret de main d'oeuvre a but lucratif est interdit par l'article L8241-1 du code du travail.</w:t>
            </w:r>
          </w:p>
          <w:p>
            <w:pPr>
              <w:spacing w:after="90" w:line="276"/>
            </w:pPr>
            <w:r>
              <w:rPr>
                <w:rFonts w:ascii="Calibri" w:cs="Calibri" w:eastAsia="Calibri" w:hAnsi="Calibri"/>
                <w:b/>
                <w:bCs/>
                <w:i w:val="false"/>
                <w:iCs w:val="false"/>
                <w:color w:val="191512"/>
                <w:sz w:val="21"/>
                <w:szCs w:val="21"/>
              </w:rPr>
              <w:t xml:space="preserve">La formulation juste est : mise en relation entre entreprises independantes, en vue d'une SOUS-TRAITANCE. Chacun reste son propre employeur et facture sa prestation.</w:t>
            </w:r>
          </w:p>
          <w:p>
            <w:pPr>
              <w:spacing w:after="0" w:line="276"/>
            </w:pPr>
            <w:r>
              <w:rPr>
                <w:rFonts w:ascii="Calibri" w:cs="Calibri" w:eastAsia="Calibri" w:hAnsi="Calibri"/>
                <w:b w:val="false"/>
                <w:bCs w:val="false"/>
                <w:i w:val="false"/>
                <w:iCs w:val="false"/>
                <w:color w:val="191512"/>
                <w:sz w:val="21"/>
                <w:szCs w:val="21"/>
              </w:rPr>
              <w:t xml:space="preserve">Cette precaution vaut pour le site, les conditions generales, la plaquette commerciale et le libelle depose a l'INPI.</w:t>
            </w:r>
          </w:p>
        </w:tc>
      </w:tr>
    </w:tbl>
    <w:p>
      <w:pPr>
        <w:spacing w:after="220"/>
      </w:pPr>
    </w:p>
    <w:p>
      <w:pPr>
        <w:pStyle w:val="Heading2"/>
        <w:spacing w:after="130" w:before="300"/>
      </w:pPr>
      <w:r>
        <w:rPr>
          <w:rFonts w:ascii="Arial" w:cs="Arial" w:eastAsia="Arial" w:hAnsi="Arial"/>
          <w:b/>
          <w:bCs/>
          <w:color w:val="191512"/>
          <w:sz w:val="25"/>
          <w:szCs w:val="25"/>
        </w:rPr>
        <w:t xml:space="preserve">3. Les protections disponibles, comparees</w:t>
      </w:r>
    </w:p>
    <w:p>
      <w:pPr>
        <w:spacing w:after="140" w:line="276"/>
        <w:jc w:val="left"/>
      </w:pPr>
      <w:r>
        <w:rPr>
          <w:rFonts w:ascii="Calibri" w:cs="Calibri" w:eastAsia="Calibri" w:hAnsi="Calibri"/>
          <w:b w:val="false"/>
          <w:bCs w:val="false"/>
          <w:i w:val="false"/>
          <w:iCs w:val="false"/>
          <w:color w:val="191512"/>
          <w:sz w:val="21"/>
          <w:szCs w:val="21"/>
        </w:rPr>
        <w:t xml:space="preserve">Sept protections sont envisageables. Trois seulement comptent vraiment ici.</w:t>
      </w:r>
    </w:p>
    <w:tbl>
      <w:tblPr>
        <w:tblW w:type="dxa" w:w="9026"/>
        <w:tblBorders>
          <w:top w:val="single" w:color="C9C4BA" w:sz="4"/>
          <w:left w:val="none" w:sz="0"/>
          <w:bottom w:val="single" w:color="C9C4BA" w:sz="4"/>
          <w:right w:val="none" w:sz="0"/>
          <w:insideH w:val="single" w:color="DDD8CE" w:sz="2"/>
          <w:insideV w:val="none" w:sz="0"/>
        </w:tblBorders>
      </w:tblPr>
      <w:tblGrid>
        <w:gridCol w:w="1534"/>
        <w:gridCol w:w="2437"/>
        <w:gridCol w:w="1534"/>
        <w:gridCol w:w="1895"/>
        <w:gridCol w:w="1626"/>
      </w:tblGrid>
      <w:tr>
        <w:trPr>
          <w:tblHeader/>
        </w:trPr>
        <w:tc>
          <w:tcPr>
            <w:tcW w:type="dxa" w:w="153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Protection</w:t>
            </w:r>
          </w:p>
        </w:tc>
        <w:tc>
          <w:tcPr>
            <w:tcW w:type="dxa" w:w="2437"/>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Ce qu'elle protege</w:t>
            </w:r>
          </w:p>
        </w:tc>
        <w:tc>
          <w:tcPr>
            <w:tcW w:type="dxa" w:w="153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Duree</w:t>
            </w:r>
          </w:p>
        </w:tc>
        <w:tc>
          <w:tcPr>
            <w:tcW w:type="dxa" w:w="1895"/>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Cout</w:t>
            </w:r>
          </w:p>
        </w:tc>
        <w:tc>
          <w:tcPr>
            <w:tcW w:type="dxa" w:w="1626"/>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Interet ici</w:t>
            </w:r>
          </w:p>
        </w:tc>
      </w:tr>
      <w:tr>
        <w:tc>
          <w:tcPr>
            <w:tcW w:type="dxa" w:w="1534"/>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Marque INPI</w:t>
            </w:r>
          </w:p>
        </w:tc>
        <w:tc>
          <w:tcPr>
            <w:tcW w:type="dxa" w:w="243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nom et le logo, pour les services designes, sur le territoire francais</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10 ans, renouvelable sans limite</w:t>
            </w:r>
          </w:p>
        </w:tc>
        <w:tc>
          <w:tcPr>
            <w:tcW w:type="dxa" w:w="189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190 EUR (1 classe) + 40 EUR par classe</w:t>
            </w:r>
          </w:p>
        </w:tc>
        <w:tc>
          <w:tcPr>
            <w:tcW w:type="dxa" w:w="1626"/>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ESSENTIEL</w:t>
            </w:r>
          </w:p>
        </w:tc>
      </w:tr>
      <w:tr>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Droit d'auteur</w:t>
            </w:r>
          </w:p>
        </w:tc>
        <w:tc>
          <w:tcPr>
            <w:tcW w:type="dxa" w:w="2437"/>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code, les textes, les maquettes, le logo, si originaux. Automatique, sans depot</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Vie de l'auteur + 70 ans</w:t>
            </w:r>
          </w:p>
        </w:tc>
        <w:tc>
          <w:tcPr>
            <w:tcW w:type="dxa" w:w="189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Gratuit</w:t>
            </w:r>
          </w:p>
        </w:tc>
        <w:tc>
          <w:tcPr>
            <w:tcW w:type="dxa" w:w="1626"/>
            <w:shd w:fill="FBF9F5" w:val="clear"/>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ACQUIS</w:t>
            </w:r>
          </w:p>
        </w:tc>
      </w:tr>
      <w:tr>
        <w:tc>
          <w:tcPr>
            <w:tcW w:type="dxa" w:w="1534"/>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e-Soleau</w:t>
            </w:r>
          </w:p>
        </w:tc>
        <w:tc>
          <w:tcPr>
            <w:tcW w:type="dxa" w:w="243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Rien. Elle PROUVE une date de possession</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5, 10, 15 ou 20 ans</w:t>
            </w:r>
          </w:p>
        </w:tc>
        <w:tc>
          <w:tcPr>
            <w:tcW w:type="dxa" w:w="189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15 EUR jusqu'a 50 Mo, par periode de 5 ans</w:t>
            </w:r>
          </w:p>
        </w:tc>
        <w:tc>
          <w:tcPr>
            <w:tcW w:type="dxa" w:w="1626"/>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UTILE</w:t>
            </w:r>
          </w:p>
        </w:tc>
      </w:tr>
      <w:tr>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Droit du producteur de base de donnees</w:t>
            </w:r>
          </w:p>
        </w:tc>
        <w:tc>
          <w:tcPr>
            <w:tcW w:type="dxa" w:w="2437"/>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contenu de la base, si sa constitution a demande un investissement substantiel</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15 ans, repart a chaque nouvel investissement substantiel</w:t>
            </w:r>
          </w:p>
        </w:tc>
        <w:tc>
          <w:tcPr>
            <w:tcW w:type="dxa" w:w="189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Gratuit, automatique</w:t>
            </w:r>
          </w:p>
        </w:tc>
        <w:tc>
          <w:tcPr>
            <w:tcW w:type="dxa" w:w="1626"/>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Utile plus tard, quand la base d'artisans aura de la valeur</w:t>
            </w:r>
          </w:p>
        </w:tc>
      </w:tr>
      <w:tr>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Dessins et modeles</w:t>
            </w:r>
          </w:p>
        </w:tc>
        <w:tc>
          <w:tcPr>
            <w:tcW w:type="dxa" w:w="243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L'apparence d'un produit</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5 ans, renouvelable jusqu'a 25</w:t>
            </w:r>
          </w:p>
        </w:tc>
        <w:tc>
          <w:tcPr>
            <w:tcW w:type="dxa" w:w="189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39 EUR + reproductions</w:t>
            </w:r>
          </w:p>
        </w:tc>
        <w:tc>
          <w:tcPr>
            <w:tcW w:type="dxa" w:w="1626"/>
            <w:tcMar>
              <w:top w:type="dxa" w:w="70"/>
              <w:left w:type="dxa" w:w="110"/>
              <w:bottom w:type="dxa" w:w="70"/>
              <w:right w:type="dxa" w:w="110"/>
            </w:tcMar>
          </w:tcPr>
          <w:p>
            <w:pPr>
              <w:spacing w:after="0" w:line="252"/>
              <w:jc w:val="left"/>
            </w:pPr>
            <w:r>
              <w:rPr>
                <w:rFonts w:ascii="Calibri" w:cs="Calibri" w:eastAsia="Calibri" w:hAnsi="Calibri"/>
                <w:b w:val="false"/>
                <w:bCs w:val="false"/>
                <w:color w:val="5E5A56"/>
                <w:sz w:val="19"/>
                <w:szCs w:val="19"/>
              </w:rPr>
              <w:t xml:space="preserve">PEU PERTINENT</w:t>
            </w:r>
          </w:p>
        </w:tc>
      </w:tr>
      <w:tr>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Brevet</w:t>
            </w:r>
          </w:p>
        </w:tc>
        <w:tc>
          <w:tcPr>
            <w:tcW w:type="dxa" w:w="2437"/>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Une invention technique nouvelle</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20 ans</w:t>
            </w:r>
          </w:p>
        </w:tc>
        <w:tc>
          <w:tcPr>
            <w:tcW w:type="dxa" w:w="189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Environ 600 EUR de taxes + conseil, souvent plusieurs milliers</w:t>
            </w:r>
          </w:p>
        </w:tc>
        <w:tc>
          <w:tcPr>
            <w:tcW w:type="dxa" w:w="1626"/>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5E5A56"/>
                <w:sz w:val="19"/>
                <w:szCs w:val="19"/>
              </w:rPr>
              <w:t xml:space="preserve">NON PERTINENT</w:t>
            </w:r>
          </w:p>
        </w:tc>
      </w:tr>
      <w:tr>
        <w:tc>
          <w:tcPr>
            <w:tcW w:type="dxa" w:w="1534"/>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Contrats et confidentialite</w:t>
            </w:r>
          </w:p>
        </w:tc>
        <w:tc>
          <w:tcPr>
            <w:tcW w:type="dxa" w:w="243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Ce que les signataires acceptent de ne pas divulguer ou reutiliser</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Ce que le contrat prevoit</w:t>
            </w:r>
          </w:p>
        </w:tc>
        <w:tc>
          <w:tcPr>
            <w:tcW w:type="dxa" w:w="189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temps de redaction</w:t>
            </w:r>
          </w:p>
        </w:tc>
        <w:tc>
          <w:tcPr>
            <w:tcW w:type="dxa" w:w="1626"/>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ESSENTIEL</w:t>
            </w:r>
          </w:p>
        </w:tc>
      </w:tr>
    </w:tbl>
    <w:p>
      <w:pPr>
        <w:spacing w:after="160" w:line="240"/>
      </w:pPr>
      <w:r>
        <w:rPr>
          <w:rFonts w:ascii="Calibri" w:cs="Calibri" w:eastAsia="Calibri" w:hAnsi="Calibri"/>
          <w:i/>
          <w:iCs/>
          <w:color w:val="5E5A56"/>
          <w:sz w:val="16"/>
          <w:szCs w:val="16"/>
        </w:rPr>
        <w:t xml:space="preserve">Tarifs marque : bareme INPI applicable au 2 juillet 2026. Tarifs e-Soleau : inpi.fr, service e-Soleau. Le tarif dessins et modeles est donne a titre indicatif et reste a confirmer.</w:t>
      </w:r>
    </w:p>
    <w:p>
      <w:pPr>
        <w:pStyle w:val="Heading3"/>
        <w:spacing w:after="100" w:before="220"/>
      </w:pPr>
      <w:r>
        <w:rPr>
          <w:rFonts w:ascii="Arial" w:cs="Arial" w:eastAsia="Arial" w:hAnsi="Arial"/>
          <w:b/>
          <w:bCs/>
          <w:color w:val="890026"/>
          <w:sz w:val="22"/>
          <w:szCs w:val="22"/>
        </w:rPr>
        <w:t xml:space="preserve">Pourquoi le brevet ne sert a rien ici</w:t>
      </w:r>
    </w:p>
    <w:p>
      <w:pPr>
        <w:spacing w:after="140" w:line="276"/>
        <w:jc w:val="left"/>
      </w:pPr>
      <w:r>
        <w:rPr>
          <w:rFonts w:ascii="Calibri" w:cs="Calibri" w:eastAsia="Calibri" w:hAnsi="Calibri"/>
          <w:b w:val="false"/>
          <w:bCs w:val="false"/>
          <w:i w:val="false"/>
          <w:iCs w:val="false"/>
          <w:color w:val="191512"/>
          <w:sz w:val="21"/>
          <w:szCs w:val="21"/>
        </w:rPr>
        <w:t xml:space="preserve">Un brevet protege une invention technique. Or le code de la propriete intellectuelle exclut expressement de la brevetabilite les programmes d'ordinateur « en tant que tels » et les methodes dans l'exercice d'activites economiques. Une plateforme de mise en relation, aussi bien concue soit-elle, tombe dans ces deux exclusions. Un brevet couterait cher pour etre refuse.</w:t>
      </w:r>
    </w:p>
    <w:p>
      <w:pPr>
        <w:pStyle w:val="Heading3"/>
        <w:spacing w:after="100" w:before="220"/>
      </w:pPr>
      <w:r>
        <w:rPr>
          <w:rFonts w:ascii="Arial" w:cs="Arial" w:eastAsia="Arial" w:hAnsi="Arial"/>
          <w:b/>
          <w:bCs/>
          <w:color w:val="890026"/>
          <w:sz w:val="22"/>
          <w:szCs w:val="22"/>
        </w:rPr>
        <w:t xml:space="preserve">Pourquoi les contrats comptent autant que la marque</w:t>
      </w:r>
    </w:p>
    <w:p>
      <w:pPr>
        <w:spacing w:after="140" w:line="276"/>
        <w:jc w:val="left"/>
      </w:pPr>
      <w:r>
        <w:rPr>
          <w:rFonts w:ascii="Calibri" w:cs="Calibri" w:eastAsia="Calibri" w:hAnsi="Calibri"/>
          <w:b w:val="false"/>
          <w:bCs w:val="false"/>
          <w:i w:val="false"/>
          <w:iCs w:val="false"/>
          <w:color w:val="191512"/>
          <w:sz w:val="21"/>
          <w:szCs w:val="21"/>
        </w:rPr>
        <w:t xml:space="preserve">C'est la protection la plus sous-estimee, et la seule qui couvre ce que la propriete intellectuelle laisse a decouvert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Avec un prestataire ou un developpeur : une </w:t>
      </w:r>
      <w:r>
        <w:rPr>
          <w:rFonts w:ascii="Calibri" w:cs="Calibri" w:eastAsia="Calibri" w:hAnsi="Calibri"/>
          <w:b/>
          <w:bCs/>
          <w:i w:val="false"/>
          <w:iCs w:val="false"/>
          <w:color w:val="191512"/>
          <w:sz w:val="21"/>
          <w:szCs w:val="21"/>
        </w:rPr>
        <w:t xml:space="preserve">clause de cession de droits</w:t>
      </w:r>
      <w:r>
        <w:rPr>
          <w:rFonts w:ascii="Calibri" w:cs="Calibri" w:eastAsia="Calibri" w:hAnsi="Calibri"/>
          <w:b w:val="false"/>
          <w:bCs w:val="false"/>
          <w:i w:val="false"/>
          <w:iCs w:val="false"/>
          <w:color w:val="191512"/>
          <w:sz w:val="21"/>
          <w:szCs w:val="21"/>
        </w:rPr>
        <w:t xml:space="preserve">. Sans elle, celui qui a ecrit le code en reste titulaire. Le droit d'auteur ne se transfere pas tout seul parce qu'on a paye une facture.</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Avec un associe, un investisseur ou un partenaire : un </w:t>
      </w:r>
      <w:r>
        <w:rPr>
          <w:rFonts w:ascii="Calibri" w:cs="Calibri" w:eastAsia="Calibri" w:hAnsi="Calibri"/>
          <w:b/>
          <w:bCs/>
          <w:i w:val="false"/>
          <w:iCs w:val="false"/>
          <w:color w:val="191512"/>
          <w:sz w:val="21"/>
          <w:szCs w:val="21"/>
        </w:rPr>
        <w:t xml:space="preserve">accord de confidentialite</w:t>
      </w:r>
      <w:r>
        <w:rPr>
          <w:rFonts w:ascii="Calibri" w:cs="Calibri" w:eastAsia="Calibri" w:hAnsi="Calibri"/>
          <w:b w:val="false"/>
          <w:bCs w:val="false"/>
          <w:i w:val="false"/>
          <w:iCs w:val="false"/>
          <w:color w:val="191512"/>
          <w:sz w:val="21"/>
          <w:szCs w:val="21"/>
        </w:rPr>
        <w:t xml:space="preserve"> signe AVANT la presentation, pas apres.</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Avec les utilisateurs : des </w:t>
      </w:r>
      <w:r>
        <w:rPr>
          <w:rFonts w:ascii="Calibri" w:cs="Calibri" w:eastAsia="Calibri" w:hAnsi="Calibri"/>
          <w:b/>
          <w:bCs/>
          <w:i w:val="false"/>
          <w:iCs w:val="false"/>
          <w:color w:val="191512"/>
          <w:sz w:val="21"/>
          <w:szCs w:val="21"/>
        </w:rPr>
        <w:t xml:space="preserve">conditions generales</w:t>
      </w:r>
      <w:r>
        <w:rPr>
          <w:rFonts w:ascii="Calibri" w:cs="Calibri" w:eastAsia="Calibri" w:hAnsi="Calibri"/>
          <w:b w:val="false"/>
          <w:bCs w:val="false"/>
          <w:i w:val="false"/>
          <w:iCs w:val="false"/>
          <w:color w:val="191512"/>
          <w:sz w:val="21"/>
          <w:szCs w:val="21"/>
        </w:rPr>
        <w:t xml:space="preserve"> qui interdisent l'extraction de la base d'artisans, et qui rappellent que chaque professionnel est une entreprise independante.</w:t>
      </w:r>
    </w:p>
    <w:p>
      <w:pPr>
        <w:pStyle w:val="Heading2"/>
        <w:spacing w:after="130" w:before="300"/>
      </w:pPr>
      <w:r>
        <w:rPr>
          <w:rFonts w:ascii="Arial" w:cs="Arial" w:eastAsia="Arial" w:hAnsi="Arial"/>
          <w:b/>
          <w:bCs/>
          <w:color w:val="191512"/>
          <w:sz w:val="25"/>
          <w:szCs w:val="25"/>
        </w:rPr>
        <w:t xml:space="preserve">4. Les conditions pour qu'une marque soit valable</w:t>
      </w:r>
    </w:p>
    <w:p>
      <w:pPr>
        <w:spacing w:after="140" w:line="276"/>
        <w:jc w:val="left"/>
      </w:pPr>
      <w:r>
        <w:rPr>
          <w:rFonts w:ascii="Calibri" w:cs="Calibri" w:eastAsia="Calibri" w:hAnsi="Calibri"/>
          <w:b w:val="false"/>
          <w:bCs w:val="false"/>
          <w:i w:val="false"/>
          <w:iCs w:val="false"/>
          <w:color w:val="191512"/>
          <w:sz w:val="21"/>
          <w:szCs w:val="21"/>
        </w:rPr>
        <w:t xml:space="preserve">Le code de la propriete intellectuelle pose trois series de conditions. Les deux premieres sont examinees par l'INPI, la troisieme ne l'est pas.</w:t>
      </w:r>
    </w:p>
    <w:tbl>
      <w:tblPr>
        <w:tblW w:type="dxa" w:w="9026"/>
        <w:tblBorders>
          <w:top w:val="single" w:color="C9C4BA" w:sz="4"/>
          <w:left w:val="none" w:sz="0"/>
          <w:bottom w:val="single" w:color="C9C4BA" w:sz="4"/>
          <w:right w:val="none" w:sz="0"/>
          <w:insideH w:val="single" w:color="DDD8CE" w:sz="2"/>
          <w:insideV w:val="none" w:sz="0"/>
        </w:tblBorders>
      </w:tblPr>
      <w:tblGrid>
        <w:gridCol w:w="1986"/>
        <w:gridCol w:w="4964"/>
        <w:gridCol w:w="2076"/>
      </w:tblGrid>
      <w:tr>
        <w:trPr>
          <w:tblHeader/>
        </w:trPr>
        <w:tc>
          <w:tcPr>
            <w:tcW w:type="dxa" w:w="1986"/>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Condition</w:t>
            </w:r>
          </w:p>
        </w:tc>
        <w:tc>
          <w:tcPr>
            <w:tcW w:type="dxa" w:w="496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Ce qu'elle exige</w:t>
            </w:r>
          </w:p>
        </w:tc>
        <w:tc>
          <w:tcPr>
            <w:tcW w:type="dxa" w:w="2076"/>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L'INPI la verifie-t-il ?</w:t>
            </w:r>
          </w:p>
        </w:tc>
      </w:tr>
      <w:tr>
        <w:tc>
          <w:tcPr>
            <w:tcW w:type="dxa" w:w="1986"/>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Etre un signe</w:t>
            </w:r>
          </w:p>
        </w:tc>
        <w:tc>
          <w:tcPr>
            <w:tcW w:type="dxa" w:w="496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signe doit pouvoir etre represente de facon claire et precise (art. L711-1).</w:t>
            </w:r>
          </w:p>
        </w:tc>
        <w:tc>
          <w:tcPr>
            <w:tcW w:type="dxa" w:w="2076"/>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Oui</w:t>
            </w:r>
          </w:p>
        </w:tc>
      </w:tr>
      <w:tr>
        <w:tc>
          <w:tcPr>
            <w:tcW w:type="dxa" w:w="1986"/>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Etre distinctif</w:t>
            </w:r>
          </w:p>
        </w:tc>
        <w:tc>
          <w:tcPr>
            <w:tcW w:type="dxa" w:w="496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signe ne doit ni decrire le service, ni etre usuel, ni etre depourvu de caractere distinctif (art. L711-2).</w:t>
            </w:r>
          </w:p>
        </w:tc>
        <w:tc>
          <w:tcPr>
            <w:tcW w:type="dxa" w:w="2076"/>
            <w:shd w:fill="FBF9F5" w:val="clear"/>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Oui</w:t>
            </w:r>
          </w:p>
        </w:tc>
      </w:tr>
      <w:tr>
        <w:tc>
          <w:tcPr>
            <w:tcW w:type="dxa" w:w="1986"/>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Etre disponible</w:t>
            </w:r>
          </w:p>
        </w:tc>
        <w:tc>
          <w:tcPr>
            <w:tcW w:type="dxa" w:w="496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Ne pas porter atteinte a un droit anterieur : marque, denomination sociale, nom commercial, enseigne, nom de domaine (art. L711-3).</w:t>
            </w:r>
          </w:p>
        </w:tc>
        <w:tc>
          <w:tcPr>
            <w:tcW w:type="dxa" w:w="2076"/>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NON</w:t>
            </w:r>
          </w:p>
        </w:tc>
      </w:tr>
    </w:tbl>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Le point que presque personne ne sait</w:t>
            </w:r>
          </w:p>
          <w:p>
            <w:pPr>
              <w:spacing w:after="90" w:line="276"/>
            </w:pPr>
            <w:r>
              <w:rPr>
                <w:rFonts w:ascii="Calibri" w:cs="Calibri" w:eastAsia="Calibri" w:hAnsi="Calibri"/>
                <w:b/>
                <w:bCs/>
                <w:i w:val="false"/>
                <w:iCs w:val="false"/>
                <w:color w:val="191512"/>
                <w:sz w:val="21"/>
                <w:szCs w:val="21"/>
              </w:rPr>
              <w:t xml:space="preserve">L'INPI ne verifie PAS si le nom est deja pris.</w:t>
            </w:r>
            <w:r>
              <w:rPr>
                <w:rFonts w:ascii="Calibri" w:cs="Calibri" w:eastAsia="Calibri" w:hAnsi="Calibri"/>
                <w:b w:val="false"/>
                <w:bCs w:val="false"/>
                <w:i w:val="false"/>
                <w:iCs w:val="false"/>
                <w:color w:val="191512"/>
                <w:sz w:val="21"/>
                <w:szCs w:val="21"/>
              </w:rPr>
              <w:t xml:space="preserve"> Il controle la forme et le caractere distinctif, rien d'autre. C'est au deposant de verifier la disponibilite, et c'est un TIERS qui viendra s'y opposer, dans les deux mois suivant la publication.</w:t>
            </w:r>
          </w:p>
          <w:p>
            <w:pPr>
              <w:spacing w:after="0" w:line="276"/>
            </w:pPr>
            <w:r>
              <w:rPr>
                <w:rFonts w:ascii="Calibri" w:cs="Calibri" w:eastAsia="Calibri" w:hAnsi="Calibri"/>
                <w:b w:val="false"/>
                <w:bCs w:val="false"/>
                <w:i w:val="false"/>
                <w:iCs w:val="false"/>
                <w:color w:val="191512"/>
                <w:sz w:val="21"/>
                <w:szCs w:val="21"/>
              </w:rPr>
              <w:t xml:space="preserve">Autrement dit : obtenir l'enregistrement ne prouve pas que le nom etait libre.</w:t>
            </w:r>
          </w:p>
        </w:tc>
      </w:tr>
    </w:tbl>
    <w:p>
      <w:pPr>
        <w:spacing w:after="220"/>
      </w:pPr>
    </w:p>
    <w:p>
      <w:pPr>
        <w:spacing w:after="160" w:line="240"/>
      </w:pPr>
      <w:r>
        <w:rPr>
          <w:rFonts w:ascii="Calibri" w:cs="Calibri" w:eastAsia="Calibri" w:hAnsi="Calibri"/>
          <w:i/>
          <w:iCs/>
          <w:color w:val="5E5A56"/>
          <w:sz w:val="16"/>
          <w:szCs w:val="16"/>
        </w:rPr>
        <w:t xml:space="preserve">Sources : art. L711-1, L711-2 et L711-3 du code de la propriete intellectuelle, versions en vigueur depuis le 15/12/2019, et INPI, Directives Marques « La procedure d'enregistrement », juillet 2026. Consultes le 20/09/2026.</w:t>
      </w:r>
    </w:p>
    <w:p>
      <w:pPr>
        <w:pStyle w:val="Heading2"/>
        <w:spacing w:after="130" w:before="300"/>
      </w:pPr>
      <w:r>
        <w:rPr>
          <w:rFonts w:ascii="Arial" w:cs="Arial" w:eastAsia="Arial" w:hAnsi="Arial"/>
          <w:b/>
          <w:bCs/>
          <w:color w:val="191512"/>
          <w:sz w:val="25"/>
          <w:szCs w:val="25"/>
        </w:rPr>
        <w:t xml:space="preserve">5. Le probleme du nom « a dispo »</w:t>
      </w:r>
    </w:p>
    <w:p>
      <w:pPr>
        <w:spacing w:after="140" w:line="276"/>
        <w:jc w:val="left"/>
      </w:pPr>
      <w:r>
        <w:rPr>
          <w:rFonts w:ascii="Calibri" w:cs="Calibri" w:eastAsia="Calibri" w:hAnsi="Calibri"/>
          <w:b w:val="false"/>
          <w:bCs w:val="false"/>
          <w:i w:val="false"/>
          <w:iCs w:val="false"/>
          <w:color w:val="191512"/>
          <w:sz w:val="21"/>
          <w:szCs w:val="21"/>
        </w:rPr>
        <w:t xml:space="preserve">Ce chapitre est le plus important du dossier. Il expose deux difficultes distinctes, qui s'additionnent.</w:t>
      </w:r>
    </w:p>
    <w:p>
      <w:pPr>
        <w:pStyle w:val="Heading3"/>
        <w:spacing w:after="100" w:before="220"/>
      </w:pPr>
      <w:r>
        <w:rPr>
          <w:rFonts w:ascii="Arial" w:cs="Arial" w:eastAsia="Arial" w:hAnsi="Arial"/>
          <w:b/>
          <w:bCs/>
          <w:color w:val="890026"/>
          <w:sz w:val="22"/>
          <w:szCs w:val="22"/>
        </w:rPr>
        <w:t xml:space="preserve">Difficulte n 1 : le signe decrit le service</w:t>
      </w:r>
    </w:p>
    <w:p>
      <w:pPr>
        <w:spacing w:after="140" w:line="276"/>
        <w:jc w:val="left"/>
      </w:pPr>
      <w:r>
        <w:rPr>
          <w:rFonts w:ascii="Calibri" w:cs="Calibri" w:eastAsia="Calibri" w:hAnsi="Calibri"/>
          <w:b w:val="false"/>
          <w:bCs w:val="false"/>
          <w:i w:val="false"/>
          <w:iCs w:val="false"/>
          <w:color w:val="191512"/>
          <w:sz w:val="21"/>
          <w:szCs w:val="21"/>
        </w:rPr>
        <w:t xml:space="preserve">L'article L711-2 3 du code de la propriete intellectuelle refuse l'enregistrement d'une marque « composee </w:t>
      </w:r>
      <w:r>
        <w:rPr>
          <w:rFonts w:ascii="Calibri" w:cs="Calibri" w:eastAsia="Calibri" w:hAnsi="Calibri"/>
          <w:b/>
          <w:bCs/>
          <w:i/>
          <w:iCs/>
          <w:color w:val="191512"/>
          <w:sz w:val="21"/>
          <w:szCs w:val="21"/>
        </w:rPr>
        <w:t xml:space="preserve">exclusivement</w:t>
      </w:r>
      <w:r>
        <w:rPr>
          <w:rFonts w:ascii="Calibri" w:cs="Calibri" w:eastAsia="Calibri" w:hAnsi="Calibri"/>
          <w:b w:val="false"/>
          <w:bCs w:val="false"/>
          <w:i w:val="false"/>
          <w:iCs w:val="false"/>
          <w:color w:val="191512"/>
          <w:sz w:val="21"/>
          <w:szCs w:val="21"/>
        </w:rPr>
        <w:t xml:space="preserve"> d'elements ou d'indications pouvant servir a designer, dans le commerce, une caracteristique du produit ou du service, et notamment l'espece, la qualite, la quantite, </w:t>
      </w:r>
      <w:r>
        <w:rPr>
          <w:rFonts w:ascii="Calibri" w:cs="Calibri" w:eastAsia="Calibri" w:hAnsi="Calibri"/>
          <w:b/>
          <w:bCs/>
          <w:i w:val="false"/>
          <w:iCs w:val="false"/>
          <w:color w:val="191512"/>
          <w:sz w:val="21"/>
          <w:szCs w:val="21"/>
        </w:rPr>
        <w:t xml:space="preserve">la destination</w:t>
      </w:r>
      <w:r>
        <w:rPr>
          <w:rFonts w:ascii="Calibri" w:cs="Calibri" w:eastAsia="Calibri" w:hAnsi="Calibri"/>
          <w:b w:val="false"/>
          <w:bCs w:val="false"/>
          <w:i w:val="false"/>
          <w:iCs w:val="false"/>
          <w:color w:val="191512"/>
          <w:sz w:val="21"/>
          <w:szCs w:val="21"/>
        </w:rPr>
        <w:t xml:space="preserve">, la valeur, la provenance geographique, l'epoque de la production du bien ou de la prestation du service ».</w:t>
      </w:r>
    </w:p>
    <w:p>
      <w:pPr>
        <w:spacing w:after="140" w:line="276"/>
        <w:jc w:val="left"/>
      </w:pPr>
      <w:r>
        <w:rPr>
          <w:rFonts w:ascii="Calibri" w:cs="Calibri" w:eastAsia="Calibri" w:hAnsi="Calibri"/>
          <w:b w:val="false"/>
          <w:bCs w:val="false"/>
          <w:i w:val="false"/>
          <w:iCs w:val="false"/>
          <w:color w:val="191512"/>
          <w:sz w:val="21"/>
          <w:szCs w:val="21"/>
        </w:rPr>
        <w:t xml:space="preserve">L'INPI definit la destination comme « le public auquel [le service] est destine, l'utilisation a laquelle le produit ou service est destine, voire le resultat attendu par cette utilisation ». Et son critere d'examen est le suivant : une marque est descriptive « si elle permet au consommateur d'etablir un </w:t>
      </w:r>
      <w:r>
        <w:rPr>
          <w:rFonts w:ascii="Calibri" w:cs="Calibri" w:eastAsia="Calibri" w:hAnsi="Calibri"/>
          <w:b/>
          <w:bCs/>
          <w:i w:val="false"/>
          <w:iCs w:val="false"/>
          <w:color w:val="191512"/>
          <w:sz w:val="21"/>
          <w:szCs w:val="21"/>
        </w:rPr>
        <w:t xml:space="preserve">rapport suffisamment direct et concret</w:t>
      </w:r>
      <w:r>
        <w:rPr>
          <w:rFonts w:ascii="Calibri" w:cs="Calibri" w:eastAsia="Calibri" w:hAnsi="Calibri"/>
          <w:b w:val="false"/>
          <w:bCs w:val="false"/>
          <w:i w:val="false"/>
          <w:iCs w:val="false"/>
          <w:color w:val="191512"/>
          <w:sz w:val="21"/>
          <w:szCs w:val="21"/>
        </w:rPr>
        <w:t xml:space="preserve"> entre le signe et les produits ou services ».</w:t>
      </w:r>
    </w:p>
    <w:p>
      <w:pPr>
        <w:spacing w:after="140" w:line="276"/>
        <w:jc w:val="left"/>
      </w:pPr>
      <w:r>
        <w:rPr>
          <w:rFonts w:ascii="Calibri" w:cs="Calibri" w:eastAsia="Calibri" w:hAnsi="Calibri"/>
          <w:b w:val="false"/>
          <w:bCs w:val="false"/>
          <w:i w:val="false"/>
          <w:iCs w:val="false"/>
          <w:color w:val="191512"/>
          <w:sz w:val="21"/>
          <w:szCs w:val="21"/>
        </w:rPr>
        <w:t xml:space="preserve">« a dispo » est l'abreviation courante de « a disposition ». Le service vend la mise a disposition de professionnels. </w:t>
      </w:r>
      <w:r>
        <w:rPr>
          <w:rFonts w:ascii="Calibri" w:cs="Calibri" w:eastAsia="Calibri" w:hAnsi="Calibri"/>
          <w:b/>
          <w:bCs/>
          <w:i w:val="false"/>
          <w:iCs w:val="false"/>
          <w:color w:val="191512"/>
          <w:sz w:val="21"/>
          <w:szCs w:val="21"/>
        </w:rPr>
        <w:t xml:space="preserve">Le rapport entre le signe et le service est aussi direct et concret qu'il peut l'etre.</w:t>
      </w:r>
    </w:p>
    <w:p>
      <w:pPr>
        <w:spacing w:after="160" w:line="240"/>
      </w:pPr>
      <w:r>
        <w:rPr>
          <w:rFonts w:ascii="Calibri" w:cs="Calibri" w:eastAsia="Calibri" w:hAnsi="Calibri"/>
          <w:i/>
          <w:iCs/>
          <w:color w:val="5E5A56"/>
          <w:sz w:val="16"/>
          <w:szCs w:val="16"/>
        </w:rPr>
        <w:t xml:space="preserve">Sources : art. L711-2 CPI (legifrance.gouv.fr/codes/article_lc/LEGIARTI000039381542) ; INPI, Directives Marques juillet 2026, pages 66 et 68 (inpi.fr/inpi-block/download-document?id=19981). Le critere du rapport direct et concret est d'origine europeenne, CJCE 23 octobre 2003, C-191/01 P, applique par la Cour de cassation. Consultes le 20/09/2026.</w:t>
      </w:r>
    </w:p>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Trois fausses solutions, ecartees par les directives de l'INPI</w:t>
            </w:r>
          </w:p>
          <w:p>
            <w:pPr>
              <w:spacing w:after="90" w:line="276"/>
            </w:pPr>
            <w:r>
              <w:rPr>
                <w:rFonts w:ascii="Calibri" w:cs="Calibri" w:eastAsia="Calibri" w:hAnsi="Calibri"/>
                <w:b/>
                <w:bCs/>
                <w:i w:val="false"/>
                <w:iCs w:val="false"/>
                <w:color w:val="191512"/>
                <w:sz w:val="21"/>
                <w:szCs w:val="21"/>
              </w:rPr>
              <w:t xml:space="preserve">Ecrire « adispo » ou « a-dispo » ne change rien.</w:t>
            </w:r>
            <w:r>
              <w:rPr>
                <w:rFonts w:ascii="Calibri" w:cs="Calibri" w:eastAsia="Calibri" w:hAnsi="Calibri"/>
                <w:b w:val="false"/>
                <w:bCs w:val="false"/>
                <w:i w:val="false"/>
                <w:iCs w:val="false"/>
                <w:color w:val="191512"/>
                <w:sz w:val="21"/>
                <w:szCs w:val="21"/>
              </w:rPr>
              <w:t xml:space="preserve"> Directives page 74 : « le fait de les accoler est sans incidence sur le manque de caractere distinctif ». Les trois graphies seront examinees de la meme maniere.</w:t>
            </w:r>
          </w:p>
          <w:p>
            <w:pPr>
              <w:spacing w:after="90" w:line="276"/>
            </w:pPr>
            <w:r>
              <w:rPr>
                <w:rFonts w:ascii="Calibri" w:cs="Calibri" w:eastAsia="Calibri" w:hAnsi="Calibri"/>
                <w:b/>
                <w:bCs/>
                <w:i w:val="false"/>
                <w:iCs w:val="false"/>
                <w:color w:val="191512"/>
                <w:sz w:val="21"/>
                <w:szCs w:val="21"/>
              </w:rPr>
              <w:t xml:space="preserve">Ajouter « .fr » ou « www » ne change rien.</w:t>
            </w:r>
            <w:r>
              <w:rPr>
                <w:rFonts w:ascii="Calibri" w:cs="Calibri" w:eastAsia="Calibri" w:hAnsi="Calibri"/>
                <w:b w:val="false"/>
                <w:bCs w:val="false"/>
                <w:i w:val="false"/>
                <w:iCs w:val="false"/>
                <w:color w:val="191512"/>
                <w:sz w:val="21"/>
                <w:szCs w:val="21"/>
              </w:rPr>
              <w:t xml:space="preserve"> Meme page : ces elements « ne font qu'informer le consommateur que les produits/services sont accessibles sur internet ».</w:t>
            </w:r>
          </w:p>
          <w:p>
            <w:pPr>
              <w:spacing w:after="0" w:line="276"/>
            </w:pPr>
            <w:r>
              <w:rPr>
                <w:rFonts w:ascii="Calibri" w:cs="Calibri" w:eastAsia="Calibri" w:hAnsi="Calibri"/>
                <w:b/>
                <w:bCs/>
                <w:i w:val="false"/>
                <w:iCs w:val="false"/>
                <w:color w:val="191512"/>
                <w:sz w:val="21"/>
                <w:szCs w:val="21"/>
              </w:rPr>
              <w:t xml:space="preserve">Avoir reserve le nom de domaine ne cree aucun droit de marque.</w:t>
            </w:r>
            <w:r>
              <w:rPr>
                <w:rFonts w:ascii="Calibri" w:cs="Calibri" w:eastAsia="Calibri" w:hAnsi="Calibri"/>
                <w:b w:val="false"/>
                <w:bCs w:val="false"/>
                <w:i w:val="false"/>
                <w:iCs w:val="false"/>
                <w:color w:val="191512"/>
                <w:sz w:val="21"/>
                <w:szCs w:val="21"/>
              </w:rPr>
              <w:t xml:space="preserve"> Un nom de domaine n'intervient que comme droit anterieur opposable par un tiers, et seulement si sa portee n'est pas purement locale.</w:t>
            </w:r>
          </w:p>
        </w:tc>
      </w:tr>
    </w:tbl>
    <w:p>
      <w:pPr>
        <w:spacing w:after="220"/>
      </w:pPr>
    </w:p>
    <w:p>
      <w:pPr>
        <w:pStyle w:val="Heading3"/>
        <w:spacing w:after="100" w:before="220"/>
      </w:pPr>
      <w:r>
        <w:rPr>
          <w:rFonts w:ascii="Arial" w:cs="Arial" w:eastAsia="Arial" w:hAnsi="Arial"/>
          <w:b/>
          <w:bCs/>
          <w:color w:val="890026"/>
          <w:sz w:val="22"/>
          <w:szCs w:val="22"/>
        </w:rPr>
        <w:t xml:space="preserve">La porte de sortie, et elle est reelle</w:t>
      </w:r>
    </w:p>
    <w:p>
      <w:pPr>
        <w:spacing w:after="140" w:line="276"/>
        <w:jc w:val="left"/>
      </w:pPr>
      <w:r>
        <w:rPr>
          <w:rFonts w:ascii="Calibri" w:cs="Calibri" w:eastAsia="Calibri" w:hAnsi="Calibri"/>
          <w:b w:val="false"/>
          <w:bCs w:val="false"/>
          <w:i w:val="false"/>
          <w:iCs w:val="false"/>
          <w:color w:val="191512"/>
          <w:sz w:val="21"/>
          <w:szCs w:val="21"/>
        </w:rPr>
        <w:t xml:space="preserve">Le mot « exclusivement » de l'article est decisif. Les directives de l'INPI, page 66, en tirent la consequence : « un signe compose d'un element descriptif et d'elements qui ne le sont pas </w:t>
      </w:r>
      <w:r>
        <w:rPr>
          <w:rFonts w:ascii="Calibri" w:cs="Calibri" w:eastAsia="Calibri" w:hAnsi="Calibri"/>
          <w:b/>
          <w:bCs/>
          <w:i w:val="false"/>
          <w:iCs w:val="false"/>
          <w:color w:val="191512"/>
          <w:sz w:val="21"/>
          <w:szCs w:val="21"/>
        </w:rPr>
        <w:t xml:space="preserve">ne saurait etre refuse sur ce motif</w:t>
      </w:r>
      <w:r>
        <w:rPr>
          <w:rFonts w:ascii="Calibri" w:cs="Calibri" w:eastAsia="Calibri" w:hAnsi="Calibri"/>
          <w:b w:val="false"/>
          <w:bCs w:val="false"/>
          <w:i w:val="false"/>
          <w:iCs w:val="false"/>
          <w:color w:val="191512"/>
          <w:sz w:val="21"/>
          <w:szCs w:val="21"/>
        </w:rPr>
        <w:t xml:space="preserve">, si tant est que lesdits elements ajoutes sont en eux-memes de nature a etre percus » comme distinctifs. L'exemple donne par l'INPI est « PIECES AUTO DUPONT ».</w:t>
      </w:r>
    </w:p>
    <w:p>
      <w:pPr>
        <w:spacing w:after="140" w:line="276"/>
        <w:jc w:val="left"/>
      </w:pPr>
      <w:r>
        <w:rPr>
          <w:rFonts w:ascii="Calibri" w:cs="Calibri" w:eastAsia="Calibri" w:hAnsi="Calibri"/>
          <w:b w:val="false"/>
          <w:bCs w:val="false"/>
          <w:i w:val="false"/>
          <w:iCs w:val="false"/>
          <w:color w:val="191512"/>
          <w:sz w:val="21"/>
          <w:szCs w:val="21"/>
        </w:rPr>
        <w:t xml:space="preserve">Concretement, trois voies existent, par ordre de solidite :</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Ajouter un element verbal arbitraire</w:t>
      </w:r>
      <w:r>
        <w:rPr>
          <w:rFonts w:ascii="Calibri" w:cs="Calibri" w:eastAsia="Calibri" w:hAnsi="Calibri"/>
          <w:b w:val="false"/>
          <w:bCs w:val="false"/>
          <w:i w:val="false"/>
          <w:iCs w:val="false"/>
          <w:color w:val="191512"/>
          <w:sz w:val="21"/>
          <w:szCs w:val="21"/>
        </w:rPr>
        <w:t xml:space="preserve"> au signe descriptif. C'est la voie la plus sure, et la moins couteuse. Elle suppose d'accepter de changer le nom.</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Deposer en semi-figuratif</w:t>
      </w:r>
      <w:r>
        <w:rPr>
          <w:rFonts w:ascii="Calibri" w:cs="Calibri" w:eastAsia="Calibri" w:hAnsi="Calibri"/>
          <w:b w:val="false"/>
          <w:bCs w:val="false"/>
          <w:i w:val="false"/>
          <w:iCs w:val="false"/>
          <w:color w:val="191512"/>
          <w:sz w:val="21"/>
          <w:szCs w:val="21"/>
        </w:rPr>
        <w:t xml:space="preserve">, c'est-a-dire le mot ACCOMPAGNE d'un logo. Attention : les directives, pages 77 a 79, exigent que « les elements associes a la marque verbale descriptive soient en eux-memes dotes d'un caractere distinctif », c'est-a-dire arbitraires. Un logo purement decoratif, ou qui illustre le service, ne sauve rien. Et le monopole ne portera alors que sur l'ENSEMBLE, pas sur le mot.</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Revendiquer le caractere distinctif acquis par l'usage</w:t>
      </w:r>
      <w:r>
        <w:rPr>
          <w:rFonts w:ascii="Calibri" w:cs="Calibri" w:eastAsia="Calibri" w:hAnsi="Calibri"/>
          <w:b w:val="false"/>
          <w:bCs w:val="false"/>
          <w:i w:val="false"/>
          <w:iCs w:val="false"/>
          <w:color w:val="191512"/>
          <w:sz w:val="21"/>
          <w:szCs w:val="21"/>
        </w:rPr>
        <w:t xml:space="preserve">. Le dernier alinea de L711-2 le permet, mais les directives, pages 88 et 89, posent une condition que l'on decouvre souvent trop tard : « L'acquisition du caractere distinctif par l'usage doit avoir eu lieu </w:t>
      </w:r>
      <w:r>
        <w:rPr>
          <w:rFonts w:ascii="Calibri" w:cs="Calibri" w:eastAsia="Calibri" w:hAnsi="Calibri"/>
          <w:b/>
          <w:bCs/>
          <w:i w:val="false"/>
          <w:iCs w:val="false"/>
          <w:color w:val="191512"/>
          <w:sz w:val="21"/>
          <w:szCs w:val="21"/>
        </w:rPr>
        <w:t xml:space="preserve">anterieurement au depot</w:t>
      </w:r>
      <w:r>
        <w:rPr>
          <w:rFonts w:ascii="Calibri" w:cs="Calibri" w:eastAsia="Calibri" w:hAnsi="Calibri"/>
          <w:b w:val="false"/>
          <w:bCs w:val="false"/>
          <w:i w:val="false"/>
          <w:iCs w:val="false"/>
          <w:color w:val="191512"/>
          <w:sz w:val="21"/>
          <w:szCs w:val="21"/>
        </w:rPr>
        <w:t xml:space="preserve"> ». Un projet qui demarre ne peut pas s'en prevaloir.</w:t>
      </w:r>
    </w:p>
    <w:p>
      <w:pPr>
        <w:pStyle w:val="Heading3"/>
        <w:spacing w:after="100" w:before="220"/>
      </w:pPr>
      <w:r>
        <w:rPr>
          <w:rFonts w:ascii="Arial" w:cs="Arial" w:eastAsia="Arial" w:hAnsi="Arial"/>
          <w:b/>
          <w:bCs/>
          <w:color w:val="890026"/>
          <w:sz w:val="22"/>
          <w:szCs w:val="22"/>
        </w:rPr>
        <w:t xml:space="preserve">Difficulte n 2 : ce qu'une marque faible ne permettra pas d'interdire</w:t>
      </w:r>
    </w:p>
    <w:p>
      <w:pPr>
        <w:spacing w:after="140" w:line="276"/>
        <w:jc w:val="left"/>
      </w:pPr>
      <w:r>
        <w:rPr>
          <w:rFonts w:ascii="Calibri" w:cs="Calibri" w:eastAsia="Calibri" w:hAnsi="Calibri"/>
          <w:b w:val="false"/>
          <w:bCs w:val="false"/>
          <w:i w:val="false"/>
          <w:iCs w:val="false"/>
          <w:color w:val="191512"/>
          <w:sz w:val="21"/>
          <w:szCs w:val="21"/>
        </w:rPr>
        <w:t xml:space="preserve">Meme enregistree, une marque construite sur un mot descriptif offre un monopole creux. L'article L713-6 I 2 prevoit qu'une marque « ne permet pas a son titulaire d'interdire a un tiers l'usage, dans la vie des affaires, conformement aux usages loyaux du commerce (...) de signes ou d'indications qui sont depourvus de caractere distinctif ».</w:t>
      </w:r>
    </w:p>
    <w:p>
      <w:pPr>
        <w:spacing w:after="140" w:line="276"/>
        <w:jc w:val="left"/>
      </w:pPr>
      <w:r>
        <w:rPr>
          <w:rFonts w:ascii="Calibri" w:cs="Calibri" w:eastAsia="Calibri" w:hAnsi="Calibri"/>
          <w:b w:val="false"/>
          <w:bCs w:val="false"/>
          <w:i w:val="false"/>
          <w:iCs w:val="false"/>
          <w:color w:val="191512"/>
          <w:sz w:val="21"/>
          <w:szCs w:val="21"/>
        </w:rPr>
        <w:t xml:space="preserve">Traduction : un concurrent pourra ecrire « nos artisans sont a dispo » sur son site sans que tu puisses rien faire. </w:t>
      </w:r>
      <w:r>
        <w:rPr>
          <w:rFonts w:ascii="Calibri" w:cs="Calibri" w:eastAsia="Calibri" w:hAnsi="Calibri"/>
          <w:b/>
          <w:bCs/>
          <w:i w:val="false"/>
          <w:iCs w:val="false"/>
          <w:color w:val="191512"/>
          <w:sz w:val="21"/>
          <w:szCs w:val="21"/>
        </w:rPr>
        <w:t xml:space="preserve">Tu paierais pour un titre que tu ne pourrais pas faire respecter.</w:t>
      </w:r>
    </w:p>
    <w:p>
      <w:r>
        <w:br w:type="page"/>
      </w:r>
    </w:p>
    <w:p>
      <w:pPr>
        <w:pStyle w:val="Heading2"/>
        <w:spacing w:after="130" w:before="300"/>
      </w:pPr>
      <w:r>
        <w:rPr>
          <w:rFonts w:ascii="Arial" w:cs="Arial" w:eastAsia="Arial" w:hAnsi="Arial"/>
          <w:b/>
          <w:bCs/>
          <w:color w:val="191512"/>
          <w:sz w:val="25"/>
          <w:szCs w:val="25"/>
        </w:rPr>
        <w:t xml:space="preserve">6. La recherche d'anteriorite, et son resultat</w:t>
      </w:r>
    </w:p>
    <w:p>
      <w:pPr>
        <w:pStyle w:val="Heading3"/>
        <w:spacing w:after="100" w:before="220"/>
      </w:pPr>
      <w:r>
        <w:rPr>
          <w:rFonts w:ascii="Arial" w:cs="Arial" w:eastAsia="Arial" w:hAnsi="Arial"/>
          <w:b/>
          <w:bCs/>
          <w:color w:val="890026"/>
          <w:sz w:val="22"/>
          <w:szCs w:val="22"/>
        </w:rPr>
        <w:t xml:space="preserve">La methode, en cinq etapes</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Recherche a l'identique, gratuite.</w:t>
      </w:r>
      <w:r>
        <w:rPr>
          <w:rFonts w:ascii="Calibri" w:cs="Calibri" w:eastAsia="Calibri" w:hAnsi="Calibri"/>
          <w:b w:val="false"/>
          <w:bCs w:val="false"/>
          <w:i w:val="false"/>
          <w:iCs w:val="false"/>
          <w:color w:val="191512"/>
          <w:sz w:val="21"/>
          <w:szCs w:val="21"/>
        </w:rPr>
        <w:t xml:space="preserve"> Sur data.inpi.fr, base Marques, en cochant les trois registres : francais, europeen et international. Puis sur TMview, qui agrege 81 offices.</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Recherche des entreprises.</w:t>
      </w:r>
      <w:r>
        <w:rPr>
          <w:rFonts w:ascii="Calibri" w:cs="Calibri" w:eastAsia="Calibri" w:hAnsi="Calibri"/>
          <w:b w:val="false"/>
          <w:bCs w:val="false"/>
          <w:i w:val="false"/>
          <w:iCs w:val="false"/>
          <w:color w:val="191512"/>
          <w:sz w:val="21"/>
          <w:szCs w:val="21"/>
        </w:rPr>
        <w:t xml:space="preserve"> Sur data.inpi.fr, base Entreprises (registre national des entreprises), pour les denominations sociales, noms commerciaux et enseignes.</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Recherche des noms de domaine.</w:t>
      </w:r>
      <w:r>
        <w:rPr>
          <w:rFonts w:ascii="Calibri" w:cs="Calibri" w:eastAsia="Calibri" w:hAnsi="Calibri"/>
          <w:b w:val="false"/>
          <w:bCs w:val="false"/>
          <w:i w:val="false"/>
          <w:iCs w:val="false"/>
          <w:color w:val="191512"/>
          <w:sz w:val="21"/>
          <w:szCs w:val="21"/>
        </w:rPr>
        <w:t xml:space="preserve"> Par le WHOIS de l'AFNIC pour le .fr, et le WHOIS classique pour les autres extensions.</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Recherche de similarites, payante.</w:t>
      </w:r>
      <w:r>
        <w:rPr>
          <w:rFonts w:ascii="Calibri" w:cs="Calibri" w:eastAsia="Calibri" w:hAnsi="Calibri"/>
          <w:b w:val="false"/>
          <w:bCs w:val="false"/>
          <w:i w:val="false"/>
          <w:iCs w:val="false"/>
          <w:color w:val="191512"/>
          <w:sz w:val="21"/>
          <w:szCs w:val="21"/>
        </w:rPr>
        <w:t xml:space="preserve"> C'est le seul niveau qui couvre les ressemblances visuelles, orthographiques, PHONETIQUES et intellectuelles. Une recherche gratuite ne les voit pas.</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Interpretation par un professionnel.</w:t>
      </w:r>
      <w:r>
        <w:rPr>
          <w:rFonts w:ascii="Calibri" w:cs="Calibri" w:eastAsia="Calibri" w:hAnsi="Calibri"/>
          <w:b w:val="false"/>
          <w:bCs w:val="false"/>
          <w:i w:val="false"/>
          <w:iCs w:val="false"/>
          <w:color w:val="191512"/>
          <w:sz w:val="21"/>
          <w:szCs w:val="21"/>
        </w:rPr>
        <w:t xml:space="preserve"> L'INPI livre des resultats bruts et renvoie explicitement au conseil en propriete industrielle pour les lire.</w:t>
      </w:r>
    </w:p>
    <w:tbl>
      <w:tblPr>
        <w:tblW w:type="dxa" w:w="9026"/>
        <w:tblBorders>
          <w:top w:val="single" w:color="C9C4BA" w:sz="4"/>
          <w:left w:val="none" w:sz="0"/>
          <w:bottom w:val="single" w:color="C9C4BA" w:sz="4"/>
          <w:right w:val="none" w:sz="0"/>
          <w:insideH w:val="single" w:color="DDD8CE" w:sz="2"/>
          <w:insideV w:val="none" w:sz="0"/>
        </w:tblBorders>
      </w:tblPr>
      <w:tblGrid>
        <w:gridCol w:w="6860"/>
        <w:gridCol w:w="2166"/>
      </w:tblGrid>
      <w:tr>
        <w:trPr>
          <w:tblHeader/>
        </w:trPr>
        <w:tc>
          <w:tcPr>
            <w:tcW w:type="dxa" w:w="6860"/>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Recherche de disponibilite vendue par l'INPI</w:t>
            </w:r>
          </w:p>
        </w:tc>
        <w:tc>
          <w:tcPr>
            <w:tcW w:type="dxa" w:w="2166"/>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Prix</w:t>
            </w:r>
          </w:p>
        </w:tc>
      </w:tr>
      <w:tr>
        <w:tc>
          <w:tcPr>
            <w:tcW w:type="dxa" w:w="6860"/>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Marques verbales, 3 classes ou moins, OU noms de societe similaires</w:t>
            </w:r>
          </w:p>
        </w:tc>
        <w:tc>
          <w:tcPr>
            <w:tcW w:type="dxa" w:w="2166"/>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50 EUR</w:t>
            </w:r>
          </w:p>
        </w:tc>
      </w:tr>
      <w:tr>
        <w:tc>
          <w:tcPr>
            <w:tcW w:type="dxa" w:w="6860"/>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Marques verbales ET noms de societe, 3 classes ou moins</w:t>
            </w:r>
          </w:p>
        </w:tc>
        <w:tc>
          <w:tcPr>
            <w:tcW w:type="dxa" w:w="2166"/>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80 EUR</w:t>
            </w:r>
          </w:p>
        </w:tc>
      </w:tr>
      <w:tr>
        <w:tc>
          <w:tcPr>
            <w:tcW w:type="dxa" w:w="6860"/>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Marques verbales ET noms de societe ET noms de domaine, 1 a 3 classes</w:t>
            </w:r>
          </w:p>
        </w:tc>
        <w:tc>
          <w:tcPr>
            <w:tcW w:type="dxa" w:w="2166"/>
            <w:tcMar>
              <w:top w:type="dxa" w:w="70"/>
              <w:left w:type="dxa" w:w="110"/>
              <w:bottom w:type="dxa" w:w="70"/>
              <w:right w:type="dxa" w:w="110"/>
            </w:tcMar>
          </w:tcPr>
          <w:p>
            <w:pPr>
              <w:spacing w:after="0" w:line="252"/>
              <w:jc w:val="right"/>
            </w:pPr>
            <w:r>
              <w:rPr>
                <w:rFonts w:ascii="Consolas" w:cs="Consolas" w:eastAsia="Consolas" w:hAnsi="Consolas"/>
                <w:b/>
                <w:bCs/>
                <w:color w:val="191512"/>
                <w:sz w:val="19"/>
                <w:szCs w:val="19"/>
              </w:rPr>
              <w:t xml:space="preserve">150 EUR</w:t>
            </w:r>
          </w:p>
        </w:tc>
      </w:tr>
      <w:tr>
        <w:tc>
          <w:tcPr>
            <w:tcW w:type="dxa" w:w="6860"/>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Marque semi-figurative en France, une classe</w:t>
            </w:r>
          </w:p>
        </w:tc>
        <w:tc>
          <w:tcPr>
            <w:tcW w:type="dxa" w:w="2166"/>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572 EUR</w:t>
            </w:r>
          </w:p>
        </w:tc>
      </w:tr>
    </w:tbl>
    <w:p>
      <w:pPr>
        <w:spacing w:after="160" w:line="240"/>
      </w:pPr>
      <w:r>
        <w:rPr>
          <w:rFonts w:ascii="Calibri" w:cs="Calibri" w:eastAsia="Calibri" w:hAnsi="Calibri"/>
          <w:i/>
          <w:iCs/>
          <w:color w:val="5E5A56"/>
          <w:sz w:val="16"/>
          <w:szCs w:val="16"/>
        </w:rPr>
        <w:t xml:space="preserve">INPI, tarifs des prestations applicables au 2 juillet 2026. Delai annonce : 2 a 10 jours ouvres. Consultes le 20/09/2026.</w:t>
      </w:r>
    </w:p>
    <w:p>
      <w:pPr>
        <w:pStyle w:val="Heading3"/>
        <w:spacing w:after="100" w:before="220"/>
      </w:pPr>
      <w:r>
        <w:rPr>
          <w:rFonts w:ascii="Arial" w:cs="Arial" w:eastAsia="Arial" w:hAnsi="Arial"/>
          <w:b/>
          <w:bCs/>
          <w:color w:val="890026"/>
          <w:sz w:val="22"/>
          <w:szCs w:val="22"/>
        </w:rPr>
        <w:t xml:space="preserve">Ce que la recherche a trouve, le 20 septembre 2026</w:t>
      </w:r>
    </w:p>
    <w:p>
      <w:pPr>
        <w:spacing w:after="140" w:line="276"/>
        <w:jc w:val="left"/>
      </w:pPr>
      <w:r>
        <w:rPr>
          <w:rFonts w:ascii="Calibri" w:cs="Calibri" w:eastAsia="Calibri" w:hAnsi="Calibri"/>
          <w:b w:val="false"/>
          <w:bCs w:val="false"/>
          <w:i w:val="false"/>
          <w:iCs w:val="false"/>
          <w:color w:val="191512"/>
          <w:sz w:val="21"/>
          <w:szCs w:val="21"/>
        </w:rPr>
        <w:t xml:space="preserve">La recherche a ete executee, sur data.inpi.fr, TMview, le registre national des entreprises, le BODACC et les serveurs WHOIS. </w:t>
      </w:r>
      <w:r>
        <w:rPr>
          <w:rFonts w:ascii="Calibri" w:cs="Calibri" w:eastAsia="Calibri" w:hAnsi="Calibri"/>
          <w:b/>
          <w:bCs/>
          <w:i w:val="false"/>
          <w:iCs w:val="false"/>
          <w:color w:val="191512"/>
          <w:sz w:val="21"/>
          <w:szCs w:val="21"/>
        </w:rPr>
        <w:t xml:space="preserve">Elle ne rend pas un terrain libre.</w:t>
      </w:r>
    </w:p>
    <w:tbl>
      <w:tblPr>
        <w:tblW w:type="dxa" w:w="9026"/>
        <w:tblBorders>
          <w:top w:val="single" w:color="C9C4BA" w:sz="4"/>
          <w:left w:val="none" w:sz="0"/>
          <w:bottom w:val="single" w:color="C9C4BA" w:sz="4"/>
          <w:right w:val="none" w:sz="0"/>
          <w:insideH w:val="single" w:color="DDD8CE" w:sz="2"/>
          <w:insideV w:val="none" w:sz="0"/>
        </w:tblBorders>
      </w:tblPr>
      <w:tblGrid>
        <w:gridCol w:w="1354"/>
        <w:gridCol w:w="1534"/>
        <w:gridCol w:w="1625"/>
        <w:gridCol w:w="4513"/>
      </w:tblGrid>
      <w:tr>
        <w:trPr>
          <w:tblHeader/>
        </w:trPr>
        <w:tc>
          <w:tcPr>
            <w:tcW w:type="dxa" w:w="135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Signe</w:t>
            </w:r>
          </w:p>
        </w:tc>
        <w:tc>
          <w:tcPr>
            <w:tcW w:type="dxa" w:w="153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Numero</w:t>
            </w:r>
          </w:p>
        </w:tc>
        <w:tc>
          <w:tcPr>
            <w:tcW w:type="dxa" w:w="1625"/>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Statut</w:t>
            </w:r>
          </w:p>
        </w:tc>
        <w:tc>
          <w:tcPr>
            <w:tcW w:type="dxa" w:w="4513"/>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Titulaire et portee</w:t>
            </w:r>
          </w:p>
        </w:tc>
      </w:tr>
      <w:tr>
        <w:tc>
          <w:tcPr>
            <w:tcW w:type="dxa" w:w="1354"/>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ADISPO</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FR3180615</w:t>
            </w:r>
          </w:p>
        </w:tc>
        <w:tc>
          <w:tcPr>
            <w:tcW w:type="dxa" w:w="1625"/>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En vigueur
jusqu'en 2032</w:t>
            </w:r>
          </w:p>
        </w:tc>
        <w:tc>
          <w:tcPr>
            <w:tcW w:type="dxa" w:w="4513"/>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Verbale. Deposee le 26/08/2002 a Lyon, renouvelee. Personne physique, Sainte-Foy-les-Lyon. CLASSES 35, 41 ET 42.</w:t>
            </w:r>
          </w:p>
        </w:tc>
      </w:tr>
      <w:tr>
        <w:tc>
          <w:tcPr>
            <w:tcW w:type="dxa" w:w="1354"/>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ADISPO</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FR3017609</w:t>
            </w:r>
          </w:p>
        </w:tc>
        <w:tc>
          <w:tcPr>
            <w:tcW w:type="dxa" w:w="1625"/>
            <w:shd w:fill="FBF9F5" w:val="clear"/>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En vigueur</w:t>
            </w:r>
          </w:p>
        </w:tc>
        <w:tc>
          <w:tcPr>
            <w:tcW w:type="dxa" w:w="4513"/>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Verbale. Deposee le 28/03/2000, renouvelee le 04/03/2020. La Banque Postale.</w:t>
            </w:r>
          </w:p>
        </w:tc>
      </w:tr>
      <w:tr>
        <w:tc>
          <w:tcPr>
            <w:tcW w:type="dxa" w:w="1354"/>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DISPO</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FR5054655</w:t>
            </w:r>
          </w:p>
        </w:tc>
        <w:tc>
          <w:tcPr>
            <w:tcW w:type="dxa" w:w="1625"/>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En vigueur
jusqu'en 2034</w:t>
            </w:r>
          </w:p>
        </w:tc>
        <w:tc>
          <w:tcPr>
            <w:tcW w:type="dxa" w:w="4513"/>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Verbale. Deposee le 15/05/2024. Personne physique, Isere. CINQ CLASSES : 16, 35, 37, 41 ET 42.</w:t>
            </w:r>
          </w:p>
        </w:tc>
      </w:tr>
      <w:tr>
        <w:tc>
          <w:tcPr>
            <w:tcW w:type="dxa" w:w="1354"/>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dispo</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FR4910051</w:t>
            </w:r>
          </w:p>
        </w:tc>
        <w:tc>
          <w:tcPr>
            <w:tcW w:type="dxa" w:w="1625"/>
            <w:shd w:fill="FBF9F5" w:val="clear"/>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Enregistree</w:t>
            </w:r>
          </w:p>
        </w:tc>
        <w:tc>
          <w:tcPr>
            <w:tcW w:type="dxa" w:w="4513"/>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Figurative en couleur, deposee le 02/11/2022. Plateforme d'intermediation.</w:t>
            </w:r>
          </w:p>
        </w:tc>
      </w:tr>
      <w:tr>
        <w:tc>
          <w:tcPr>
            <w:tcW w:type="dxa" w:w="135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ATADISPO</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FR5217464</w:t>
            </w:r>
          </w:p>
        </w:tc>
        <w:tc>
          <w:tcPr>
            <w:tcW w:type="dxa" w:w="162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Demande publiee</w:t>
            </w:r>
          </w:p>
        </w:tc>
        <w:tc>
          <w:tcPr>
            <w:tcW w:type="dxa" w:w="4513"/>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Deposee le 15/01/2026, publiee au BOPI 2026-06.</w:t>
            </w:r>
          </w:p>
        </w:tc>
      </w:tr>
      <w:tr>
        <w:tc>
          <w:tcPr>
            <w:tcW w:type="dxa" w:w="135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Dispo</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EM 018955477</w:t>
            </w:r>
          </w:p>
        </w:tc>
        <w:tc>
          <w:tcPr>
            <w:tcW w:type="dxa" w:w="162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Enregistree</w:t>
            </w:r>
          </w:p>
        </w:tc>
        <w:tc>
          <w:tcPr>
            <w:tcW w:type="dxa" w:w="4513"/>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Marque de l'Union europeenne, 2023, classes 9, 39 et 42.</w:t>
            </w:r>
          </w:p>
        </w:tc>
      </w:tr>
    </w:tbl>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Les trois trouvailles qui doivent arreter la decision</w:t>
            </w:r>
          </w:p>
          <w:p>
            <w:pPr>
              <w:spacing w:after="90" w:line="276"/>
            </w:pPr>
            <w:r>
              <w:rPr>
                <w:rFonts w:ascii="Calibri" w:cs="Calibri" w:eastAsia="Calibri" w:hAnsi="Calibri"/>
                <w:b/>
                <w:bCs/>
                <w:i w:val="false"/>
                <w:iCs w:val="false"/>
                <w:color w:val="191512"/>
                <w:sz w:val="21"/>
                <w:szCs w:val="21"/>
              </w:rPr>
              <w:t xml:space="preserve">Deux marques vivantes occupent DEJA les classes 35 et 42.</w:t>
            </w:r>
            <w:r>
              <w:rPr>
                <w:rFonts w:ascii="Calibri" w:cs="Calibri" w:eastAsia="Calibri" w:hAnsi="Calibri"/>
                <w:b w:val="false"/>
                <w:bCs w:val="false"/>
                <w:i w:val="false"/>
                <w:iCs w:val="false"/>
                <w:color w:val="191512"/>
                <w:sz w:val="21"/>
                <w:szCs w:val="21"/>
              </w:rPr>
              <w:t xml:space="preserve"> Or ce sont exactement les deux classes dont ce projet a besoin. ADISPO FR3180615 couvre les classes 35, 41 et 42 jusqu'en 2032. DISPO FR5054655 couvre les classes 16, 35, 37, 41 et 42 jusqu'en 2034. Le terrain vise n'est pas libre.</w:t>
            </w:r>
          </w:p>
          <w:p>
            <w:pPr>
              <w:spacing w:after="90" w:line="276"/>
            </w:pPr>
            <w:r>
              <w:rPr>
                <w:rFonts w:ascii="Calibri" w:cs="Calibri" w:eastAsia="Calibri" w:hAnsi="Calibri"/>
                <w:b/>
                <w:bCs/>
                <w:i w:val="false"/>
                <w:iCs w:val="false"/>
                <w:color w:val="191512"/>
                <w:sz w:val="21"/>
                <w:szCs w:val="21"/>
              </w:rPr>
              <w:t xml:space="preserve">DISPO FR5054655 couvre aussi la classe 37, celle du batiment.</w:t>
            </w:r>
            <w:r>
              <w:rPr>
                <w:rFonts w:ascii="Calibri" w:cs="Calibri" w:eastAsia="Calibri" w:hAnsi="Calibri"/>
                <w:b w:val="false"/>
                <w:bCs w:val="false"/>
                <w:i w:val="false"/>
                <w:iCs w:val="false"/>
                <w:color w:val="191512"/>
                <w:sz w:val="21"/>
                <w:szCs w:val="21"/>
              </w:rPr>
              <w:t xml:space="preserve"> C'est le secteur du projet.</w:t>
            </w:r>
          </w:p>
          <w:p>
            <w:pPr>
              <w:spacing w:after="90" w:line="276"/>
            </w:pPr>
            <w:r>
              <w:rPr>
                <w:rFonts w:ascii="Calibri" w:cs="Calibri" w:eastAsia="Calibri" w:hAnsi="Calibri"/>
                <w:b/>
                <w:bCs/>
                <w:i w:val="false"/>
                <w:iCs w:val="false"/>
                <w:color w:val="191512"/>
                <w:sz w:val="21"/>
                <w:szCs w:val="21"/>
              </w:rPr>
              <w:t xml:space="preserve">ADISPO INTERIM existe comme societe, et fait de l'interim.</w:t>
            </w:r>
            <w:r>
              <w:rPr>
                <w:rFonts w:ascii="Calibri" w:cs="Calibri" w:eastAsia="Calibri" w:hAnsi="Calibri"/>
                <w:b w:val="false"/>
                <w:bCs w:val="false"/>
                <w:i w:val="false"/>
                <w:iCs w:val="false"/>
                <w:color w:val="191512"/>
                <w:sz w:val="21"/>
                <w:szCs w:val="21"/>
              </w:rPr>
              <w:t xml:space="preserve"> SAS, SIREN 922 284 682, RCS Lyon, siege a Meyzieu dans le Rhone, avec le sigle ADISPO et le nom commercial ADISPO declares des sa creation, pour une activite d'agence de travail temporaire. L'interim, c'est la mise a disposition de personnel : le signe voisin, l'activite voisine, et la meme region que le projet.</w:t>
            </w:r>
          </w:p>
          <w:p>
            <w:pPr>
              <w:spacing w:after="0" w:line="276"/>
            </w:pPr>
            <w:r>
              <w:rPr>
                <w:rFonts w:ascii="Calibri" w:cs="Calibri" w:eastAsia="Calibri" w:hAnsi="Calibri"/>
                <w:b w:val="false"/>
                <w:bCs w:val="false"/>
                <w:i w:val="false"/>
                <w:iCs w:val="false"/>
                <w:color w:val="191512"/>
                <w:sz w:val="21"/>
                <w:szCs w:val="21"/>
              </w:rPr>
              <w:t xml:space="preserve">Un nom commercial ou une enseigne est un droit anterieur opposable</w:t>
            </w:r>
            <w:r>
              <w:rPr>
                <w:rFonts w:ascii="Calibri" w:cs="Calibri" w:eastAsia="Calibri" w:hAnsi="Calibri"/>
                <w:b w:val="false"/>
                <w:bCs w:val="false"/>
                <w:i w:val="false"/>
                <w:iCs w:val="false"/>
                <w:color w:val="191512"/>
                <w:sz w:val="21"/>
                <w:szCs w:val="21"/>
              </w:rPr>
              <w:t xml:space="preserve"> des lors que sa portee n'est pas seulement locale et qu'il existe un risque de confusion (art. L711-3 I 4).</w:t>
            </w:r>
          </w:p>
        </w:tc>
      </w:tr>
    </w:tbl>
    <w:p>
      <w:pPr>
        <w:spacing w:after="220"/>
      </w:pPr>
    </w:p>
    <w:p>
      <w:pPr>
        <w:spacing w:after="140" w:line="276"/>
        <w:jc w:val="left"/>
      </w:pPr>
      <w:r>
        <w:rPr>
          <w:rFonts w:ascii="Calibri" w:cs="Calibri" w:eastAsia="Calibri" w:hAnsi="Calibri"/>
          <w:b w:val="false"/>
          <w:bCs w:val="false"/>
          <w:i w:val="false"/>
          <w:iCs w:val="false"/>
          <w:color w:val="191512"/>
          <w:sz w:val="21"/>
          <w:szCs w:val="21"/>
        </w:rPr>
        <w:t xml:space="preserve">A noter egalement : le domaine </w:t>
      </w:r>
      <w:r>
        <w:rPr>
          <w:rFonts w:ascii="Calibri" w:cs="Calibri" w:eastAsia="Calibri" w:hAnsi="Calibri"/>
          <w:b/>
          <w:bCs/>
          <w:i w:val="false"/>
          <w:iCs w:val="false"/>
          <w:color w:val="191512"/>
          <w:sz w:val="21"/>
          <w:szCs w:val="21"/>
        </w:rPr>
        <w:t xml:space="preserve">adispo.fr</w:t>
      </w:r>
      <w:r>
        <w:rPr>
          <w:rFonts w:ascii="Calibri" w:cs="Calibri" w:eastAsia="Calibri" w:hAnsi="Calibri"/>
          <w:b w:val="false"/>
          <w:bCs w:val="false"/>
          <w:i w:val="false"/>
          <w:iCs w:val="false"/>
          <w:color w:val="191512"/>
          <w:sz w:val="21"/>
          <w:szCs w:val="21"/>
        </w:rPr>
        <w:t xml:space="preserve"> est actif depuis le 04/12/2006 et son registrar est NAMESHIELD, une societe specialisee dans la protection et la surveillance de marques. Un titulaire qui paie une surveillance est un titulaire qui recoit une alerte le jour ou une marque voisine est publiee au BOPI.</w:t>
      </w:r>
    </w:p>
    <w:p>
      <w:pPr>
        <w:spacing w:after="160" w:line="240"/>
      </w:pPr>
      <w:r>
        <w:rPr>
          <w:rFonts w:ascii="Calibri" w:cs="Calibri" w:eastAsia="Calibri" w:hAnsi="Calibri"/>
          <w:i/>
          <w:iCs/>
          <w:color w:val="5E5A56"/>
          <w:sz w:val="16"/>
          <w:szCs w:val="16"/>
        </w:rPr>
        <w:t xml:space="preserve">Relevés du 20/09/2026 : data.inpi.fr (bases Marques et Entreprises, mises a jour au 18/09/2026), TMview (tmdn.org), BODACC (open data DILA), WHOIS AFNIC (whois.nic.fr).</w:t>
      </w:r>
    </w:p>
    <w:tbl>
      <w:tblPr>
        <w:tblW w:type="dxa" w:w="9026"/>
        <w:tblBorders>
          <w:top w:val="single" w:color="890026" w:sz="4"/>
          <w:left w:val="single" w:color="890026" w:sz="24"/>
          <w:bottom w:val="single" w:color="890026" w:sz="4"/>
          <w:right w:val="single" w:color="890026"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890026"/>
                <w:sz w:val="21"/>
                <w:szCs w:val="21"/>
              </w:rPr>
              <w:t xml:space="preserve">Ce qui reste a verifier, et par qui</w:t>
            </w:r>
          </w:p>
          <w:p>
            <w:pPr>
              <w:spacing w:after="90" w:line="276"/>
            </w:pPr>
            <w:r>
              <w:rPr>
                <w:rFonts w:ascii="Calibri" w:cs="Calibri" w:eastAsia="Calibri" w:hAnsi="Calibri"/>
                <w:b/>
                <w:bCs/>
                <w:i w:val="false"/>
                <w:iCs w:val="false"/>
                <w:color w:val="191512"/>
                <w:sz w:val="21"/>
                <w:szCs w:val="21"/>
              </w:rPr>
              <w:t xml:space="preserve">L'usage serieux reel de la marque ADISPO FR3180615.</w:t>
            </w:r>
            <w:r>
              <w:rPr>
                <w:rFonts w:ascii="Calibri" w:cs="Calibri" w:eastAsia="Calibri" w:hAnsi="Calibri"/>
                <w:b w:val="false"/>
                <w:bCs w:val="false"/>
                <w:i w:val="false"/>
                <w:iCs w:val="false"/>
                <w:color w:val="191512"/>
                <w:sz w:val="21"/>
                <w:szCs w:val="21"/>
              </w:rPr>
              <w:t xml:space="preserve"> Si elle n'est pas exploitee serieusement depuis cinq ans, elle est attaquable en decheance (art. L714-5, requete a 600 euros). Cela se fait constater par un conseil, pas en regardant s'il existe un site web.</w:t>
            </w:r>
          </w:p>
          <w:p>
            <w:pPr>
              <w:spacing w:after="90" w:line="276"/>
            </w:pPr>
            <w:r>
              <w:rPr>
                <w:rFonts w:ascii="Calibri" w:cs="Calibri" w:eastAsia="Calibri" w:hAnsi="Calibri"/>
                <w:b/>
                <w:bCs/>
                <w:i w:val="false"/>
                <w:iCs w:val="false"/>
                <w:color w:val="191512"/>
                <w:sz w:val="21"/>
                <w:szCs w:val="21"/>
              </w:rPr>
              <w:t xml:space="preserve">La portee, locale ou non, du nom commercial ADISPO INTERIM.</w:t>
            </w:r>
            <w:r>
              <w:rPr>
                <w:rFonts w:ascii="Calibri" w:cs="Calibri" w:eastAsia="Calibri" w:hAnsi="Calibri"/>
                <w:b w:val="false"/>
                <w:bCs w:val="false"/>
                <w:i w:val="false"/>
                <w:iCs w:val="false"/>
                <w:color w:val="191512"/>
                <w:sz w:val="21"/>
                <w:szCs w:val="21"/>
              </w:rPr>
              <w:t xml:space="preserve"> C'est la condition qui decide si cette societe peut ou non former opposition.</w:t>
            </w:r>
          </w:p>
          <w:p>
            <w:pPr>
              <w:spacing w:after="0" w:line="276"/>
            </w:pPr>
            <w:r>
              <w:rPr>
                <w:rFonts w:ascii="Calibri" w:cs="Calibri" w:eastAsia="Calibri" w:hAnsi="Calibri"/>
                <w:b/>
                <w:bCs/>
                <w:i w:val="false"/>
                <w:iCs w:val="false"/>
                <w:color w:val="191512"/>
                <w:sz w:val="21"/>
                <w:szCs w:val="21"/>
              </w:rPr>
              <w:t xml:space="preserve">Une recherche de similarites phonetiques.</w:t>
            </w:r>
            <w:r>
              <w:rPr>
                <w:rFonts w:ascii="Calibri" w:cs="Calibri" w:eastAsia="Calibri" w:hAnsi="Calibri"/>
                <w:b w:val="false"/>
                <w:bCs w:val="false"/>
                <w:i w:val="false"/>
                <w:iCs w:val="false"/>
                <w:color w:val="191512"/>
                <w:sz w:val="21"/>
                <w:szCs w:val="21"/>
              </w:rPr>
              <w:t xml:space="preserve"> Aucune des recherches gratuites ne la couvre, et c'est precisement le terrain ou « a dispo » et « ADISPO » se rencontrent.</w:t>
            </w:r>
          </w:p>
        </w:tc>
      </w:tr>
    </w:tbl>
    <w:p>
      <w:pPr>
        <w:spacing w:after="220"/>
      </w:pPr>
    </w:p>
    <w:p>
      <w:r>
        <w:br w:type="page"/>
      </w:r>
    </w:p>
    <w:p>
      <w:pPr>
        <w:pStyle w:val="Heading2"/>
        <w:spacing w:after="130" w:before="300"/>
      </w:pPr>
      <w:r>
        <w:rPr>
          <w:rFonts w:ascii="Arial" w:cs="Arial" w:eastAsia="Arial" w:hAnsi="Arial"/>
          <w:b/>
          <w:bCs/>
          <w:color w:val="191512"/>
          <w:sz w:val="25"/>
          <w:szCs w:val="25"/>
        </w:rPr>
        <w:t xml:space="preserve">7. Les classes de Nice</w:t>
      </w:r>
    </w:p>
    <w:p>
      <w:pPr>
        <w:spacing w:after="140" w:line="276"/>
        <w:jc w:val="left"/>
      </w:pPr>
      <w:r>
        <w:rPr>
          <w:rFonts w:ascii="Calibri" w:cs="Calibri" w:eastAsia="Calibri" w:hAnsi="Calibri"/>
          <w:b w:val="false"/>
          <w:bCs w:val="false"/>
          <w:i w:val="false"/>
          <w:iCs w:val="false"/>
          <w:color w:val="191512"/>
          <w:sz w:val="21"/>
          <w:szCs w:val="21"/>
        </w:rPr>
        <w:t xml:space="preserve">Une marque ne protege pas dans l'absolu : elle protege pour des services designes, ranges dans des classes. La classification de Nice en vigueur est la </w:t>
      </w:r>
      <w:r>
        <w:rPr>
          <w:rFonts w:ascii="Calibri" w:cs="Calibri" w:eastAsia="Calibri" w:hAnsi="Calibri"/>
          <w:b/>
          <w:bCs/>
          <w:i w:val="false"/>
          <w:iCs w:val="false"/>
          <w:color w:val="191512"/>
          <w:sz w:val="21"/>
          <w:szCs w:val="21"/>
        </w:rPr>
        <w:t xml:space="preserve">13e edition, applicable depuis le 1er janvier 2026</w:t>
      </w:r>
      <w:r>
        <w:rPr>
          <w:rFonts w:ascii="Calibri" w:cs="Calibri" w:eastAsia="Calibri" w:hAnsi="Calibri"/>
          <w:b w:val="false"/>
          <w:bCs w:val="false"/>
          <w:i w:val="false"/>
          <w:iCs w:val="false"/>
          <w:color w:val="191512"/>
          <w:sz w:val="21"/>
          <w:szCs w:val="21"/>
        </w:rPr>
        <w:t xml:space="preserve">. Elle compte 45 classes, 34 de produits et 11 de services.</w:t>
      </w:r>
    </w:p>
    <w:p>
      <w:pPr>
        <w:spacing w:after="140" w:line="276"/>
        <w:jc w:val="left"/>
      </w:pPr>
      <w:r>
        <w:rPr>
          <w:rFonts w:ascii="Calibri" w:cs="Calibri" w:eastAsia="Calibri" w:hAnsi="Calibri"/>
          <w:b w:val="false"/>
          <w:bCs w:val="false"/>
          <w:i w:val="false"/>
          <w:iCs w:val="false"/>
          <w:color w:val="191512"/>
          <w:sz w:val="21"/>
          <w:szCs w:val="21"/>
        </w:rPr>
        <w:t xml:space="preserve">Elle n'a qu'une valeur administrative : le classement ne determine pas la portee de la protection, c'est le libelle qui compte.</w:t>
      </w:r>
    </w:p>
    <w:tbl>
      <w:tblPr>
        <w:tblW w:type="dxa" w:w="9026"/>
        <w:tblBorders>
          <w:top w:val="single" w:color="C9C4BA" w:sz="4"/>
          <w:left w:val="none" w:sz="0"/>
          <w:bottom w:val="single" w:color="C9C4BA" w:sz="4"/>
          <w:right w:val="none" w:sz="0"/>
          <w:insideH w:val="single" w:color="DDD8CE" w:sz="2"/>
          <w:insideV w:val="none" w:sz="0"/>
        </w:tblBorders>
      </w:tblPr>
      <w:tblGrid>
        <w:gridCol w:w="903"/>
        <w:gridCol w:w="6138"/>
        <w:gridCol w:w="1985"/>
      </w:tblGrid>
      <w:tr>
        <w:trPr>
          <w:tblHeader/>
        </w:trPr>
        <w:tc>
          <w:tcPr>
            <w:tcW w:type="dxa" w:w="903"/>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Classe</w:t>
            </w:r>
          </w:p>
        </w:tc>
        <w:tc>
          <w:tcPr>
            <w:tcW w:type="dxa" w:w="6138"/>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Pourquoi elle concerne ce projet</w:t>
            </w:r>
          </w:p>
        </w:tc>
        <w:tc>
          <w:tcPr>
            <w:tcW w:type="dxa" w:w="1985"/>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Pertinence</w:t>
            </w:r>
          </w:p>
        </w:tc>
      </w:tr>
      <w:tr>
        <w:tc>
          <w:tcPr>
            <w:tcW w:type="dxa" w:w="903"/>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42</w:t>
            </w:r>
          </w:p>
        </w:tc>
        <w:tc>
          <w:tcPr>
            <w:tcW w:type="dxa" w:w="6138"/>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La plateforme elle-meme. C'est la seule classe ou figure le logiciel en ligne non telechargeable, c'est-a-dire une application que l'on utilise sans l'installer. C'est le coeur du produit.</w:t>
            </w:r>
          </w:p>
        </w:tc>
        <w:tc>
          <w:tcPr>
            <w:tcW w:type="dxa" w:w="1985"/>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INDISPENSABLE</w:t>
            </w:r>
          </w:p>
        </w:tc>
      </w:tr>
      <w:tr>
        <w:tc>
          <w:tcPr>
            <w:tcW w:type="dxa" w:w="903"/>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35</w:t>
            </w:r>
          </w:p>
        </w:tc>
        <w:tc>
          <w:tcPr>
            <w:tcW w:type="dxa" w:w="6138"/>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La mise en relation commerciale entre professionnels, la promotion, et la gestion d'agendas. Attention : la note explicative exclut de cette classe les prestations dont l'objet principal est autre que commercial.</w:t>
            </w:r>
          </w:p>
        </w:tc>
        <w:tc>
          <w:tcPr>
            <w:tcW w:type="dxa" w:w="1985"/>
            <w:shd w:fill="FBF9F5" w:val="clear"/>
            <w:tcMar>
              <w:top w:type="dxa" w:w="70"/>
              <w:left w:type="dxa" w:w="110"/>
              <w:bottom w:type="dxa" w:w="70"/>
              <w:right w:type="dxa" w:w="110"/>
            </w:tcMar>
          </w:tcPr>
          <w:p>
            <w:pPr>
              <w:spacing w:after="0" w:line="252"/>
              <w:jc w:val="left"/>
            </w:pPr>
            <w:r>
              <w:rPr>
                <w:rFonts w:ascii="Calibri" w:cs="Calibri" w:eastAsia="Calibri" w:hAnsi="Calibri"/>
                <w:b/>
                <w:bCs/>
                <w:color w:val="116B40"/>
                <w:sz w:val="19"/>
                <w:szCs w:val="19"/>
              </w:rPr>
              <w:t xml:space="preserve">INDISPENSABLE</w:t>
            </w:r>
          </w:p>
        </w:tc>
      </w:tr>
      <w:tr>
        <w:tc>
          <w:tcPr>
            <w:tcW w:type="dxa" w:w="903"/>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38</w:t>
            </w:r>
          </w:p>
        </w:tc>
        <w:tc>
          <w:tcPr>
            <w:tcW w:type="dxa" w:w="6138"/>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La messagerie entre utilisateurs, en tant que service de telecommunication. Elle ne couvre PAS le contenu echange, seulement l'acheminement.</w:t>
            </w:r>
          </w:p>
        </w:tc>
        <w:tc>
          <w:tcPr>
            <w:tcW w:type="dxa" w:w="1985"/>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UTILE</w:t>
            </w:r>
          </w:p>
        </w:tc>
      </w:tr>
      <w:tr>
        <w:tc>
          <w:tcPr>
            <w:tcW w:type="dxa" w:w="903"/>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45</w:t>
            </w:r>
          </w:p>
        </w:tc>
        <w:tc>
          <w:tcPr>
            <w:tcW w:type="dxa" w:w="6138"/>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reseautage social en ligne figure dans l'intitule officiel de la classe. Si la plateforme est presentee comme un reseau de professionnels, elle a sa place ici.</w:t>
            </w:r>
          </w:p>
        </w:tc>
        <w:tc>
          <w:tcPr>
            <w:tcW w:type="dxa" w:w="1985"/>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A DISCUTER</w:t>
            </w:r>
          </w:p>
        </w:tc>
      </w:tr>
      <w:tr>
        <w:tc>
          <w:tcPr>
            <w:tcW w:type="dxa" w:w="903"/>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9</w:t>
            </w:r>
          </w:p>
        </w:tc>
        <w:tc>
          <w:tcPr>
            <w:tcW w:type="dxa" w:w="6138"/>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Uniquement si une application TELECHARGEABLE est publiee sur les magasins d'applications. Tant que le produit reste un site, elle ne sert pas.</w:t>
            </w:r>
          </w:p>
        </w:tc>
        <w:tc>
          <w:tcPr>
            <w:tcW w:type="dxa" w:w="1985"/>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PLUS TARD</w:t>
            </w:r>
          </w:p>
        </w:tc>
      </w:tr>
      <w:tr>
        <w:tc>
          <w:tcPr>
            <w:tcW w:type="dxa" w:w="903"/>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37</w:t>
            </w:r>
          </w:p>
        </w:tc>
        <w:tc>
          <w:tcPr>
            <w:tcW w:type="dxa" w:w="6138"/>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La location de materiel de chantier y figure. Mais c'est l'une des cinq classes de la marque DISPO deja deposee. A manier avec precaution.</w:t>
            </w:r>
          </w:p>
        </w:tc>
        <w:tc>
          <w:tcPr>
            <w:tcW w:type="dxa" w:w="1985"/>
            <w:shd w:fill="FBF9F5" w:val="clear"/>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A DISCUTER</w:t>
            </w:r>
          </w:p>
        </w:tc>
      </w:tr>
      <w:tr>
        <w:tc>
          <w:tcPr>
            <w:tcW w:type="dxa" w:w="903"/>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36</w:t>
            </w:r>
          </w:p>
        </w:tc>
        <w:tc>
          <w:tcPr>
            <w:tcW w:type="dxa" w:w="6138"/>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Services financiers. A EVITER tant que la plateforme n'encaisse ni commission ni paiement entre artisans.</w:t>
            </w:r>
          </w:p>
        </w:tc>
        <w:tc>
          <w:tcPr>
            <w:tcW w:type="dxa" w:w="1985"/>
            <w:tcMar>
              <w:top w:type="dxa" w:w="70"/>
              <w:left w:type="dxa" w:w="110"/>
              <w:bottom w:type="dxa" w:w="70"/>
              <w:right w:type="dxa" w:w="110"/>
            </w:tcMar>
          </w:tcPr>
          <w:p>
            <w:pPr>
              <w:spacing w:after="0" w:line="252"/>
              <w:jc w:val="left"/>
            </w:pPr>
            <w:r>
              <w:rPr>
                <w:rFonts w:ascii="Calibri" w:cs="Calibri" w:eastAsia="Calibri" w:hAnsi="Calibri"/>
                <w:b/>
                <w:bCs/>
                <w:color w:val="9A3208"/>
                <w:sz w:val="19"/>
                <w:szCs w:val="19"/>
              </w:rPr>
              <w:t xml:space="preserve">NON</w:t>
            </w:r>
          </w:p>
        </w:tc>
      </w:tr>
    </w:tbl>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Le piege du libelle, dans les deux sens</w:t>
            </w:r>
          </w:p>
          <w:p>
            <w:pPr>
              <w:spacing w:after="90" w:line="276"/>
            </w:pPr>
            <w:r>
              <w:rPr>
                <w:rFonts w:ascii="Calibri" w:cs="Calibri" w:eastAsia="Calibri" w:hAnsi="Calibri"/>
                <w:b/>
                <w:bCs/>
                <w:i w:val="false"/>
                <w:iCs w:val="false"/>
                <w:color w:val="191512"/>
                <w:sz w:val="21"/>
                <w:szCs w:val="21"/>
              </w:rPr>
              <w:t xml:space="preserve">Trop large : la decheance.</w:t>
            </w:r>
            <w:r>
              <w:rPr>
                <w:rFonts w:ascii="Calibri" w:cs="Calibri" w:eastAsia="Calibri" w:hAnsi="Calibri"/>
                <w:b w:val="false"/>
                <w:bCs w:val="false"/>
                <w:i w:val="false"/>
                <w:iCs w:val="false"/>
                <w:color w:val="191512"/>
                <w:sz w:val="21"/>
                <w:szCs w:val="21"/>
              </w:rPr>
              <w:t xml:space="preserve"> L'article L714-5 permet a tout interesse de faire annuler une marque non exploitee serieusement pendant cinq ans. Payer 40 euros de plus pour une classe « au cas ou » revient a payer pour un droit qui tombera, et a s'exposer a une action a laquelle il faudra repondre.</w:t>
            </w:r>
          </w:p>
          <w:p>
            <w:pPr>
              <w:spacing w:after="90" w:line="276"/>
            </w:pPr>
            <w:r>
              <w:rPr>
                <w:rFonts w:ascii="Calibri" w:cs="Calibri" w:eastAsia="Calibri" w:hAnsi="Calibri"/>
                <w:b/>
                <w:bCs/>
                <w:i w:val="false"/>
                <w:iCs w:val="false"/>
                <w:color w:val="191512"/>
                <w:sz w:val="21"/>
                <w:szCs w:val="21"/>
              </w:rPr>
              <w:t xml:space="preserve">Trop etroit : le trou.</w:t>
            </w:r>
            <w:r>
              <w:rPr>
                <w:rFonts w:ascii="Calibri" w:cs="Calibri" w:eastAsia="Calibri" w:hAnsi="Calibri"/>
                <w:b w:val="false"/>
                <w:bCs w:val="false"/>
                <w:i w:val="false"/>
                <w:iCs w:val="false"/>
                <w:color w:val="191512"/>
                <w:sz w:val="21"/>
                <w:szCs w:val="21"/>
              </w:rPr>
              <w:t xml:space="preserve"> Un service oublie n'est pas protege, et il faudra redeposer.</w:t>
            </w:r>
          </w:p>
          <w:p>
            <w:pPr>
              <w:spacing w:after="0" w:line="276"/>
            </w:pPr>
            <w:r>
              <w:rPr>
                <w:rFonts w:ascii="Calibri" w:cs="Calibri" w:eastAsia="Calibri" w:hAnsi="Calibri"/>
                <w:b/>
                <w:bCs/>
                <w:i w:val="false"/>
                <w:iCs w:val="false"/>
                <w:color w:val="191512"/>
                <w:sz w:val="21"/>
                <w:szCs w:val="21"/>
              </w:rPr>
              <w:t xml:space="preserve">Attention : l'expression « mise en relation » ne figure dans AUCUN intitule de la classification.</w:t>
            </w:r>
            <w:r>
              <w:rPr>
                <w:rFonts w:ascii="Calibri" w:cs="Calibri" w:eastAsia="Calibri" w:hAnsi="Calibri"/>
                <w:b w:val="false"/>
                <w:bCs w:val="false"/>
                <w:i w:val="false"/>
                <w:iCs w:val="false"/>
                <w:color w:val="191512"/>
                <w:sz w:val="21"/>
                <w:szCs w:val="21"/>
              </w:rPr>
              <w:t xml:space="preserve"> Le libelle devra donc etre redige, et les directives de l'INPI exigent qu'il identifie les services « avec assez de clarte et de precision ». L'INPI publie un apercu de libelles pre-approuves : c'est par la qu'il faut commencer.</w:t>
            </w:r>
          </w:p>
        </w:tc>
      </w:tr>
    </w:tbl>
    <w:p>
      <w:pPr>
        <w:spacing w:after="220"/>
      </w:pPr>
    </w:p>
    <w:p>
      <w:pPr>
        <w:spacing w:after="160" w:line="240"/>
      </w:pPr>
      <w:r>
        <w:rPr>
          <w:rFonts w:ascii="Calibri" w:cs="Calibri" w:eastAsia="Calibri" w:hAnsi="Calibri"/>
          <w:i/>
          <w:iCs/>
          <w:color w:val="5E5A56"/>
          <w:sz w:val="16"/>
          <w:szCs w:val="16"/>
        </w:rPr>
        <w:t xml:space="preserve">Sources : classification de Nice 13e edition (inpi.fr) ; INPI, Directives Marques juillet 2026, sections 6.2 a 6.4 ; art. L714-5 CPI. Consultes le 20/09/2026. A noter : la page HTML de l'INPI annoncait encore la 12e edition au 20/09/2026, alors que le fichier telecharge est bien la 13e. Incoherence du site, sans consequence sur le droit applicable.</w:t>
      </w:r>
    </w:p>
    <w:p>
      <w:pPr>
        <w:pStyle w:val="Heading3"/>
        <w:spacing w:after="100" w:before="220"/>
      </w:pPr>
      <w:r>
        <w:rPr>
          <w:rFonts w:ascii="Arial" w:cs="Arial" w:eastAsia="Arial" w:hAnsi="Arial"/>
          <w:b/>
          <w:bCs/>
          <w:color w:val="890026"/>
          <w:sz w:val="22"/>
          <w:szCs w:val="22"/>
        </w:rPr>
        <w:t xml:space="preserve">Le cout selon le nombre de classes</w:t>
      </w:r>
    </w:p>
    <w:tbl>
      <w:tblPr>
        <w:tblW w:type="dxa" w:w="9026"/>
        <w:tblBorders>
          <w:top w:val="single" w:color="C9C4BA" w:sz="4"/>
          <w:left w:val="none" w:sz="0"/>
          <w:bottom w:val="single" w:color="C9C4BA" w:sz="4"/>
          <w:right w:val="none" w:sz="0"/>
          <w:insideH w:val="single" w:color="DDD8CE" w:sz="2"/>
          <w:insideV w:val="none" w:sz="0"/>
        </w:tblBorders>
      </w:tblPr>
      <w:tblGrid>
        <w:gridCol w:w="3610"/>
        <w:gridCol w:w="2708"/>
        <w:gridCol w:w="2708"/>
      </w:tblGrid>
      <w:tr>
        <w:trPr>
          <w:tblHeader/>
        </w:trPr>
        <w:tc>
          <w:tcPr>
            <w:tcW w:type="dxa" w:w="3610"/>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Classes retenues</w:t>
            </w:r>
          </w:p>
        </w:tc>
        <w:tc>
          <w:tcPr>
            <w:tcW w:type="dxa" w:w="2708"/>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Cout du depot</w:t>
            </w:r>
          </w:p>
        </w:tc>
        <w:tc>
          <w:tcPr>
            <w:tcW w:type="dxa" w:w="2708"/>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Cout du renouvellement, a 10 ans</w:t>
            </w:r>
          </w:p>
        </w:tc>
      </w:tr>
      <w:tr>
        <w:tc>
          <w:tcPr>
            <w:tcW w:type="dxa" w:w="3610"/>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 classe (42 seule)</w:t>
            </w:r>
          </w:p>
        </w:tc>
        <w:tc>
          <w:tcPr>
            <w:tcW w:type="dxa" w:w="2708"/>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190 EUR</w:t>
            </w:r>
          </w:p>
        </w:tc>
        <w:tc>
          <w:tcPr>
            <w:tcW w:type="dxa" w:w="2708"/>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290 EUR</w:t>
            </w:r>
          </w:p>
        </w:tc>
      </w:tr>
      <w:tr>
        <w:tc>
          <w:tcPr>
            <w:tcW w:type="dxa" w:w="3610"/>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2 classes (42 et 35)</w:t>
            </w:r>
          </w:p>
        </w:tc>
        <w:tc>
          <w:tcPr>
            <w:tcW w:type="dxa" w:w="2708"/>
            <w:shd w:fill="FBF9F5" w:val="clear"/>
            <w:tcMar>
              <w:top w:type="dxa" w:w="70"/>
              <w:left w:type="dxa" w:w="110"/>
              <w:bottom w:type="dxa" w:w="70"/>
              <w:right w:type="dxa" w:w="110"/>
            </w:tcMar>
          </w:tcPr>
          <w:p>
            <w:pPr>
              <w:spacing w:after="0" w:line="252"/>
              <w:jc w:val="right"/>
            </w:pPr>
            <w:r>
              <w:rPr>
                <w:rFonts w:ascii="Consolas" w:cs="Consolas" w:eastAsia="Consolas" w:hAnsi="Consolas"/>
                <w:b/>
                <w:bCs/>
                <w:color w:val="191512"/>
                <w:sz w:val="19"/>
                <w:szCs w:val="19"/>
              </w:rPr>
              <w:t xml:space="preserve">230 EUR</w:t>
            </w:r>
          </w:p>
        </w:tc>
        <w:tc>
          <w:tcPr>
            <w:tcW w:type="dxa" w:w="2708"/>
            <w:shd w:fill="FBF9F5" w:val="clear"/>
            <w:tcMar>
              <w:top w:type="dxa" w:w="70"/>
              <w:left w:type="dxa" w:w="110"/>
              <w:bottom w:type="dxa" w:w="70"/>
              <w:right w:type="dxa" w:w="110"/>
            </w:tcMar>
          </w:tcPr>
          <w:p>
            <w:pPr>
              <w:spacing w:after="0" w:line="252"/>
              <w:jc w:val="right"/>
            </w:pPr>
            <w:r>
              <w:rPr>
                <w:rFonts w:ascii="Consolas" w:cs="Consolas" w:eastAsia="Consolas" w:hAnsi="Consolas"/>
                <w:b/>
                <w:bCs/>
                <w:color w:val="191512"/>
                <w:sz w:val="19"/>
                <w:szCs w:val="19"/>
              </w:rPr>
              <w:t xml:space="preserve">330 EUR</w:t>
            </w:r>
          </w:p>
        </w:tc>
      </w:tr>
      <w:tr>
        <w:tc>
          <w:tcPr>
            <w:tcW w:type="dxa" w:w="3610"/>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3 classes (42, 35 et 38)</w:t>
            </w:r>
          </w:p>
        </w:tc>
        <w:tc>
          <w:tcPr>
            <w:tcW w:type="dxa" w:w="2708"/>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270 EUR</w:t>
            </w:r>
          </w:p>
        </w:tc>
        <w:tc>
          <w:tcPr>
            <w:tcW w:type="dxa" w:w="2708"/>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370 EUR</w:t>
            </w:r>
          </w:p>
        </w:tc>
      </w:tr>
      <w:tr>
        <w:tc>
          <w:tcPr>
            <w:tcW w:type="dxa" w:w="3610"/>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4 classes</w:t>
            </w:r>
          </w:p>
        </w:tc>
        <w:tc>
          <w:tcPr>
            <w:tcW w:type="dxa" w:w="2708"/>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310 EUR</w:t>
            </w:r>
          </w:p>
        </w:tc>
        <w:tc>
          <w:tcPr>
            <w:tcW w:type="dxa" w:w="2708"/>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410 EUR</w:t>
            </w:r>
          </w:p>
        </w:tc>
      </w:tr>
    </w:tbl>
    <w:p>
      <w:r>
        <w:br w:type="page"/>
      </w:r>
    </w:p>
    <w:p>
      <w:pPr>
        <w:pStyle w:val="Heading2"/>
        <w:spacing w:after="130" w:before="300"/>
      </w:pPr>
      <w:r>
        <w:rPr>
          <w:rFonts w:ascii="Arial" w:cs="Arial" w:eastAsia="Arial" w:hAnsi="Arial"/>
          <w:b/>
          <w:bCs/>
          <w:color w:val="191512"/>
          <w:sz w:val="25"/>
          <w:szCs w:val="25"/>
        </w:rPr>
        <w:t xml:space="preserve">8. La procedure, pas a pas</w:t>
      </w:r>
    </w:p>
    <w:p>
      <w:pPr>
        <w:pStyle w:val="Heading3"/>
        <w:spacing w:after="100" w:before="220"/>
      </w:pPr>
      <w:r>
        <w:rPr>
          <w:rFonts w:ascii="Arial" w:cs="Arial" w:eastAsia="Arial" w:hAnsi="Arial"/>
          <w:b/>
          <w:bCs/>
          <w:color w:val="890026"/>
          <w:sz w:val="22"/>
          <w:szCs w:val="22"/>
        </w:rPr>
        <w:t xml:space="preserve">Qui peut deposer</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Une personne physique, ou une personne morale ayant la personnalite juridique.</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Une entreprise individuelle ou une micro-entreprise </w:t>
      </w:r>
      <w:r>
        <w:rPr>
          <w:rFonts w:ascii="Calibri" w:cs="Calibri" w:eastAsia="Calibri" w:hAnsi="Calibri"/>
          <w:b/>
          <w:bCs/>
          <w:i w:val="false"/>
          <w:iCs w:val="false"/>
          <w:color w:val="191512"/>
          <w:sz w:val="21"/>
          <w:szCs w:val="21"/>
        </w:rPr>
        <w:t xml:space="preserve">ne peut pas</w:t>
      </w:r>
      <w:r>
        <w:rPr>
          <w:rFonts w:ascii="Calibri" w:cs="Calibri" w:eastAsia="Calibri" w:hAnsi="Calibri"/>
          <w:b w:val="false"/>
          <w:bCs w:val="false"/>
          <w:i w:val="false"/>
          <w:iCs w:val="false"/>
          <w:color w:val="191512"/>
          <w:sz w:val="21"/>
          <w:szCs w:val="21"/>
        </w:rPr>
        <w:t xml:space="preserve"> etre titulaire : le depot se fait au nom et prenom de la personne physique.</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Une societe </w:t>
      </w:r>
      <w:r>
        <w:rPr>
          <w:rFonts w:ascii="Calibri" w:cs="Calibri" w:eastAsia="Calibri" w:hAnsi="Calibri"/>
          <w:b/>
          <w:bCs/>
          <w:i w:val="false"/>
          <w:iCs w:val="false"/>
          <w:color w:val="191512"/>
          <w:sz w:val="21"/>
          <w:szCs w:val="21"/>
        </w:rPr>
        <w:t xml:space="preserve">en cours de creation</w:t>
      </w:r>
      <w:r>
        <w:rPr>
          <w:rFonts w:ascii="Calibri" w:cs="Calibri" w:eastAsia="Calibri" w:hAnsi="Calibri"/>
          <w:b w:val="false"/>
          <w:bCs w:val="false"/>
          <w:i w:val="false"/>
          <w:iCs w:val="false"/>
          <w:color w:val="191512"/>
          <w:sz w:val="21"/>
          <w:szCs w:val="21"/>
        </w:rPr>
        <w:t xml:space="preserve"> peut deposer, au nom de la personne physique suivie de la mention « agissant pour le compte de la societe en cours de constitution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Un depot a plusieurs est possible, mais impose alors un mandataire commun.</w:t>
      </w:r>
    </w:p>
    <w:p>
      <w:pPr>
        <w:pStyle w:val="Heading3"/>
        <w:spacing w:after="100" w:before="220"/>
      </w:pPr>
      <w:r>
        <w:rPr>
          <w:rFonts w:ascii="Arial" w:cs="Arial" w:eastAsia="Arial" w:hAnsi="Arial"/>
          <w:b/>
          <w:bCs/>
          <w:color w:val="890026"/>
          <w:sz w:val="22"/>
          <w:szCs w:val="22"/>
        </w:rPr>
        <w:t xml:space="preserve">Les pieces exigees</w:t>
      </w:r>
    </w:p>
    <w:p>
      <w:pPr>
        <w:spacing w:after="140" w:line="276"/>
        <w:jc w:val="left"/>
      </w:pPr>
      <w:r>
        <w:rPr>
          <w:rFonts w:ascii="Calibri" w:cs="Calibri" w:eastAsia="Calibri" w:hAnsi="Calibri"/>
          <w:b w:val="false"/>
          <w:bCs w:val="false"/>
          <w:i w:val="false"/>
          <w:iCs w:val="false"/>
          <w:color w:val="191512"/>
          <w:sz w:val="21"/>
          <w:szCs w:val="21"/>
        </w:rPr>
        <w:t xml:space="preserve">L'article R712-3 du code de la propriete intellectuelle en exige quatre, et rien de plus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l'identification du deposant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la representation de la marque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l'enumeration des produits ou services, et des classes correspondantes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justificatif du paiement de la redevance.</w:t>
      </w:r>
    </w:p>
    <w:p>
      <w:pPr>
        <w:spacing w:after="140" w:line="276"/>
        <w:jc w:val="left"/>
      </w:pPr>
      <w:r>
        <w:rPr>
          <w:rFonts w:ascii="Calibri" w:cs="Calibri" w:eastAsia="Calibri" w:hAnsi="Calibri"/>
          <w:b w:val="false"/>
          <w:bCs w:val="false"/>
          <w:i w:val="false"/>
          <w:iCs w:val="false"/>
          <w:color w:val="191512"/>
          <w:sz w:val="21"/>
          <w:szCs w:val="21"/>
        </w:rPr>
        <w:t xml:space="preserve">Le depot est </w:t>
      </w:r>
      <w:r>
        <w:rPr>
          <w:rFonts w:ascii="Calibri" w:cs="Calibri" w:eastAsia="Calibri" w:hAnsi="Calibri"/>
          <w:b/>
          <w:bCs/>
          <w:i w:val="false"/>
          <w:iCs w:val="false"/>
          <w:color w:val="191512"/>
          <w:sz w:val="21"/>
          <w:szCs w:val="21"/>
        </w:rPr>
        <w:t xml:space="preserve">obligatoirement electronique</w:t>
      </w:r>
      <w:r>
        <w:rPr>
          <w:rFonts w:ascii="Calibri" w:cs="Calibri" w:eastAsia="Calibri" w:hAnsi="Calibri"/>
          <w:b w:val="false"/>
          <w:bCs w:val="false"/>
          <w:i w:val="false"/>
          <w:iCs w:val="false"/>
          <w:color w:val="191512"/>
          <w:sz w:val="21"/>
          <w:szCs w:val="21"/>
        </w:rPr>
        <w:t xml:space="preserve">, sur le portail e-procedures de l'INPI, et toutes les informations doivent etre redigees integralement en francais.</w:t>
      </w:r>
    </w:p>
    <w:p>
      <w:pPr>
        <w:pStyle w:val="Heading3"/>
        <w:spacing w:after="100" w:before="220"/>
      </w:pPr>
      <w:r>
        <w:rPr>
          <w:rFonts w:ascii="Arial" w:cs="Arial" w:eastAsia="Arial" w:hAnsi="Arial"/>
          <w:b/>
          <w:bCs/>
          <w:color w:val="890026"/>
          <w:sz w:val="22"/>
          <w:szCs w:val="22"/>
        </w:rPr>
        <w:t xml:space="preserve">Le calendrier</w:t>
      </w:r>
    </w:p>
    <w:tbl>
      <w:tblPr>
        <w:tblW w:type="dxa" w:w="9026"/>
        <w:tblBorders>
          <w:top w:val="single" w:color="C9C4BA" w:sz="4"/>
          <w:left w:val="none" w:sz="0"/>
          <w:bottom w:val="single" w:color="C9C4BA" w:sz="4"/>
          <w:right w:val="none" w:sz="0"/>
          <w:insideH w:val="single" w:color="DDD8CE" w:sz="2"/>
          <w:insideV w:val="none" w:sz="0"/>
        </w:tblBorders>
      </w:tblPr>
      <w:tblGrid>
        <w:gridCol w:w="2076"/>
        <w:gridCol w:w="1534"/>
        <w:gridCol w:w="5416"/>
      </w:tblGrid>
      <w:tr>
        <w:trPr>
          <w:tblHeader/>
        </w:trPr>
        <w:tc>
          <w:tcPr>
            <w:tcW w:type="dxa" w:w="2076"/>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Etape</w:t>
            </w:r>
          </w:p>
        </w:tc>
        <w:tc>
          <w:tcPr>
            <w:tcW w:type="dxa" w:w="153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Delai</w:t>
            </w:r>
          </w:p>
        </w:tc>
        <w:tc>
          <w:tcPr>
            <w:tcW w:type="dxa" w:w="5416"/>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Ce qui se passe</w:t>
            </w:r>
          </w:p>
        </w:tc>
      </w:tr>
      <w:tr>
        <w:tc>
          <w:tcPr>
            <w:tcW w:type="dxa" w:w="2076"/>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Jour J : depot</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w:t>
            </w:r>
          </w:p>
        </w:tc>
        <w:tc>
          <w:tcPr>
            <w:tcW w:type="dxa" w:w="5416"/>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paiement se fait au depot. La date est attribuee sous reserve de l'examen de recevabilite.</w:t>
            </w:r>
          </w:p>
        </w:tc>
      </w:tr>
      <w:tr>
        <w:tc>
          <w:tcPr>
            <w:tcW w:type="dxa" w:w="2076"/>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Publication au BOPI</w:t>
            </w:r>
          </w:p>
        </w:tc>
        <w:tc>
          <w:tcPr>
            <w:tcW w:type="dxa" w:w="1534"/>
            <w:shd w:fill="FBF9F5" w:val="clear"/>
            <w:tcMar>
              <w:top w:type="dxa" w:w="70"/>
              <w:left w:type="dxa" w:w="110"/>
              <w:bottom w:type="dxa" w:w="70"/>
              <w:right w:type="dxa" w:w="110"/>
            </w:tcMar>
          </w:tcPr>
          <w:p>
            <w:pPr>
              <w:spacing w:after="0" w:line="252"/>
              <w:jc w:val="right"/>
            </w:pPr>
            <w:r>
              <w:rPr>
                <w:rFonts w:ascii="Calibri" w:cs="Calibri" w:eastAsia="Calibri" w:hAnsi="Calibri"/>
                <w:b/>
                <w:bCs/>
                <w:color w:val="191512"/>
                <w:sz w:val="19"/>
                <w:szCs w:val="19"/>
              </w:rPr>
              <w:t xml:space="preserve">6 semaines</w:t>
            </w:r>
          </w:p>
        </w:tc>
        <w:tc>
          <w:tcPr>
            <w:tcW w:type="dxa" w:w="5416"/>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La demande est publiee au Bulletin officiel de la propriete industrielle (art. R712-8).</w:t>
            </w:r>
          </w:p>
        </w:tc>
      </w:tr>
      <w:tr>
        <w:tc>
          <w:tcPr>
            <w:tcW w:type="dxa" w:w="2076"/>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Fenetre d'opposition</w:t>
            </w:r>
          </w:p>
        </w:tc>
        <w:tc>
          <w:tcPr>
            <w:tcW w:type="dxa" w:w="1534"/>
            <w:tcMar>
              <w:top w:type="dxa" w:w="70"/>
              <w:left w:type="dxa" w:w="110"/>
              <w:bottom w:type="dxa" w:w="70"/>
              <w:right w:type="dxa" w:w="110"/>
            </w:tcMar>
          </w:tcPr>
          <w:p>
            <w:pPr>
              <w:spacing w:after="0" w:line="252"/>
              <w:jc w:val="right"/>
            </w:pPr>
            <w:r>
              <w:rPr>
                <w:rFonts w:ascii="Calibri" w:cs="Calibri" w:eastAsia="Calibri" w:hAnsi="Calibri"/>
                <w:b/>
                <w:bCs/>
                <w:color w:val="9A3208"/>
                <w:sz w:val="19"/>
                <w:szCs w:val="19"/>
              </w:rPr>
              <w:t xml:space="preserve">2 mois</w:t>
            </w:r>
          </w:p>
        </w:tc>
        <w:tc>
          <w:tcPr>
            <w:tcW w:type="dxa" w:w="5416"/>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A compter de la PUBLICATION, non du depot. C'est la que les titulaires de droits anterieurs interviennent (art. L712-4).</w:t>
            </w:r>
          </w:p>
        </w:tc>
      </w:tr>
      <w:tr>
        <w:tc>
          <w:tcPr>
            <w:tcW w:type="dxa" w:w="2076"/>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Observations de tiers</w:t>
            </w:r>
          </w:p>
        </w:tc>
        <w:tc>
          <w:tcPr>
            <w:tcW w:type="dxa" w:w="153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2 mois</w:t>
            </w:r>
          </w:p>
        </w:tc>
        <w:tc>
          <w:tcPr>
            <w:tcW w:type="dxa" w:w="5416"/>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Toute personne interessee peut adresser des observations a l'INPI.</w:t>
            </w:r>
          </w:p>
        </w:tc>
      </w:tr>
      <w:tr>
        <w:tc>
          <w:tcPr>
            <w:tcW w:type="dxa" w:w="2076"/>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Examen par l'INPI</w:t>
            </w:r>
          </w:p>
        </w:tc>
        <w:tc>
          <w:tcPr>
            <w:tcW w:type="dxa" w:w="153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en parallele</w:t>
            </w:r>
          </w:p>
        </w:tc>
        <w:tc>
          <w:tcPr>
            <w:tcW w:type="dxa" w:w="5416"/>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L'INPI controle la forme et le caractere distinctif. Il ne controle PAS la disponibilite.</w:t>
            </w:r>
          </w:p>
        </w:tc>
      </w:tr>
      <w:tr>
        <w:tc>
          <w:tcPr>
            <w:tcW w:type="dxa" w:w="2076"/>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Enregistrement</w:t>
            </w:r>
          </w:p>
        </w:tc>
        <w:tc>
          <w:tcPr>
            <w:tcW w:type="dxa" w:w="1534"/>
            <w:shd w:fill="FBF9F5" w:val="clear"/>
            <w:tcMar>
              <w:top w:type="dxa" w:w="70"/>
              <w:left w:type="dxa" w:w="110"/>
              <w:bottom w:type="dxa" w:w="70"/>
              <w:right w:type="dxa" w:w="110"/>
            </w:tcMar>
          </w:tcPr>
          <w:p>
            <w:pPr>
              <w:spacing w:after="0" w:line="252"/>
              <w:jc w:val="right"/>
            </w:pPr>
            <w:r>
              <w:rPr>
                <w:rFonts w:ascii="Calibri" w:cs="Calibri" w:eastAsia="Calibri" w:hAnsi="Calibri"/>
                <w:b/>
                <w:bCs/>
                <w:color w:val="191512"/>
                <w:sz w:val="19"/>
                <w:szCs w:val="19"/>
              </w:rPr>
              <w:t xml:space="preserve">5 mois minimum</w:t>
            </w:r>
          </w:p>
        </w:tc>
        <w:tc>
          <w:tcPr>
            <w:tcW w:type="dxa" w:w="5416"/>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Publication de l'enregistrement au BOPI. Delai plus long en cas d'objection ou d'opposition.</w:t>
            </w:r>
          </w:p>
        </w:tc>
      </w:tr>
    </w:tbl>
    <w:tbl>
      <w:tblPr>
        <w:tblW w:type="dxa" w:w="9026"/>
        <w:tblBorders>
          <w:top w:val="single" w:color="116B40" w:sz="4"/>
          <w:left w:val="single" w:color="116B40" w:sz="24"/>
          <w:bottom w:val="single" w:color="116B40" w:sz="4"/>
          <w:right w:val="single" w:color="116B40"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116B40"/>
                <w:sz w:val="21"/>
                <w:szCs w:val="21"/>
              </w:rPr>
              <w:t xml:space="preserve">La date qui compte</w:t>
            </w:r>
          </w:p>
          <w:p>
            <w:pPr>
              <w:spacing w:after="90" w:line="276"/>
            </w:pPr>
            <w:r>
              <w:rPr>
                <w:rFonts w:ascii="Calibri" w:cs="Calibri" w:eastAsia="Calibri" w:hAnsi="Calibri"/>
                <w:b/>
                <w:bCs/>
                <w:i w:val="false"/>
                <w:iCs w:val="false"/>
                <w:color w:val="191512"/>
                <w:sz w:val="21"/>
                <w:szCs w:val="21"/>
              </w:rPr>
              <w:t xml:space="preserve">La protection prend effet a la DATE DE DEPOT</w:t>
            </w:r>
            <w:r>
              <w:rPr>
                <w:rFonts w:ascii="Calibri" w:cs="Calibri" w:eastAsia="Calibri" w:hAnsi="Calibri"/>
                <w:b w:val="false"/>
                <w:bCs w:val="false"/>
                <w:i w:val="false"/>
                <w:iCs w:val="false"/>
                <w:color w:val="191512"/>
                <w:sz w:val="21"/>
                <w:szCs w:val="21"/>
              </w:rPr>
              <w:t xml:space="preserve">, et non a la date d'enregistrement. Les cinq mois d'attente ne sont pas cinq mois sans protection : une fois enregistree, la marque produit ses effets retroactivement au jour du depot.</w:t>
            </w:r>
          </w:p>
          <w:p>
            <w:pPr>
              <w:spacing w:after="0" w:line="276"/>
            </w:pPr>
            <w:r>
              <w:rPr>
                <w:rFonts w:ascii="Calibri" w:cs="Calibri" w:eastAsia="Calibri" w:hAnsi="Calibri"/>
                <w:b w:val="false"/>
                <w:bCs w:val="false"/>
                <w:i w:val="false"/>
                <w:iCs w:val="false"/>
                <w:color w:val="191512"/>
                <w:sz w:val="21"/>
                <w:szCs w:val="21"/>
              </w:rPr>
              <w:t xml:space="preserve">Duree : dix ans, renouvelables indefiniment, par periodes de dix ans. Territoire : la France seule. Pour l'Europe, il faut une marque de l'Union europeenne, deposee a l'EUIPO.</w:t>
            </w:r>
          </w:p>
        </w:tc>
      </w:tr>
    </w:tbl>
    <w:p>
      <w:pPr>
        <w:spacing w:after="220"/>
      </w:pPr>
    </w:p>
    <w:p>
      <w:pPr>
        <w:pStyle w:val="Heading3"/>
        <w:spacing w:after="100" w:before="220"/>
      </w:pPr>
      <w:r>
        <w:rPr>
          <w:rFonts w:ascii="Arial" w:cs="Arial" w:eastAsia="Arial" w:hAnsi="Arial"/>
          <w:b/>
          <w:bCs/>
          <w:color w:val="890026"/>
          <w:sz w:val="22"/>
          <w:szCs w:val="22"/>
        </w:rPr>
        <w:t xml:space="preserve">Si quelqu'un s'oppose</w:t>
      </w:r>
    </w:p>
    <w:p>
      <w:pPr>
        <w:spacing w:after="140" w:line="276"/>
        <w:jc w:val="left"/>
      </w:pPr>
      <w:r>
        <w:rPr>
          <w:rFonts w:ascii="Calibri" w:cs="Calibri" w:eastAsia="Calibri" w:hAnsi="Calibri"/>
          <w:b w:val="false"/>
          <w:bCs w:val="false"/>
          <w:i w:val="false"/>
          <w:iCs w:val="false"/>
          <w:color w:val="191512"/>
          <w:sz w:val="21"/>
          <w:szCs w:val="21"/>
        </w:rPr>
        <w:t xml:space="preserve">Une opposition coute 400 euros a celui qui la forme, plus 150 euros par droit anterieur supplementaire invoque. L'INPI rend sa decision dans un delai encadre. </w:t>
      </w:r>
      <w:r>
        <w:rPr>
          <w:rFonts w:ascii="Calibri" w:cs="Calibri" w:eastAsia="Calibri" w:hAnsi="Calibri"/>
          <w:b/>
          <w:bCs/>
          <w:i w:val="false"/>
          <w:iCs w:val="false"/>
          <w:color w:val="191512"/>
          <w:sz w:val="21"/>
          <w:szCs w:val="21"/>
        </w:rPr>
        <w:t xml:space="preserve">Une opposition ne signifie pas la perte automatique du dossier</w:t>
      </w:r>
      <w:r>
        <w:rPr>
          <w:rFonts w:ascii="Calibri" w:cs="Calibri" w:eastAsia="Calibri" w:hAnsi="Calibri"/>
          <w:b w:val="false"/>
          <w:bCs w:val="false"/>
          <w:i w:val="false"/>
          <w:iCs w:val="false"/>
          <w:color w:val="191512"/>
          <w:sz w:val="21"/>
          <w:szCs w:val="21"/>
        </w:rPr>
        <w:t xml:space="preserve">, mais elle ouvre une procedure contradictoire qui demande un conseil.</w:t>
      </w:r>
    </w:p>
    <w:p>
      <w:pPr>
        <w:spacing w:after="140" w:line="276"/>
        <w:jc w:val="left"/>
      </w:pPr>
      <w:r>
        <w:rPr>
          <w:rFonts w:ascii="Calibri" w:cs="Calibri" w:eastAsia="Calibri" w:hAnsi="Calibri"/>
          <w:b w:val="false"/>
          <w:bCs w:val="false"/>
          <w:i w:val="false"/>
          <w:iCs w:val="false"/>
          <w:color w:val="191512"/>
          <w:sz w:val="21"/>
          <w:szCs w:val="21"/>
        </w:rPr>
        <w:t xml:space="preserve">Et apres l'enregistrement, le risque ne disparait pas : une requete en nullite ou en decheance coute 600 euros a celui qui l'engage, plus 150 euros par droit supplementaire. </w:t>
      </w:r>
      <w:r>
        <w:rPr>
          <w:rFonts w:ascii="Calibri" w:cs="Calibri" w:eastAsia="Calibri" w:hAnsi="Calibri"/>
          <w:b/>
          <w:bCs/>
          <w:i w:val="false"/>
          <w:iCs w:val="false"/>
          <w:color w:val="191512"/>
          <w:sz w:val="21"/>
          <w:szCs w:val="21"/>
        </w:rPr>
        <w:t xml:space="preserve">Une marque fragile reste attaquable pendant toute sa vie.</w:t>
      </w:r>
    </w:p>
    <w:p>
      <w:pPr>
        <w:pStyle w:val="Heading3"/>
        <w:spacing w:after="100" w:before="220"/>
      </w:pPr>
      <w:r>
        <w:rPr>
          <w:rFonts w:ascii="Arial" w:cs="Arial" w:eastAsia="Arial" w:hAnsi="Arial"/>
          <w:b/>
          <w:bCs/>
          <w:color w:val="890026"/>
          <w:sz w:val="22"/>
          <w:szCs w:val="22"/>
        </w:rPr>
        <w:t xml:space="preserve">Les liens officiels</w:t>
      </w:r>
    </w:p>
    <w:tbl>
      <w:tblPr>
        <w:tblW w:type="dxa" w:w="9026"/>
        <w:tblBorders>
          <w:top w:val="single" w:color="C9C4BA" w:sz="4"/>
          <w:left w:val="none" w:sz="0"/>
          <w:bottom w:val="single" w:color="C9C4BA" w:sz="4"/>
          <w:right w:val="none" w:sz="0"/>
          <w:insideH w:val="single" w:color="DDD8CE" w:sz="2"/>
          <w:insideV w:val="none" w:sz="0"/>
        </w:tblBorders>
      </w:tblPr>
      <w:tblGrid>
        <w:gridCol w:w="4062"/>
        <w:gridCol w:w="4964"/>
      </w:tblGrid>
      <w:tr>
        <w:trPr>
          <w:tblHeader/>
        </w:trPr>
        <w:tc>
          <w:tcPr>
            <w:tcW w:type="dxa" w:w="4062"/>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Pour</w:t>
            </w:r>
          </w:p>
        </w:tc>
        <w:tc>
          <w:tcPr>
            <w:tcW w:type="dxa" w:w="496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Adresse</w:t>
            </w:r>
          </w:p>
        </w:tc>
      </w:tr>
      <w:tr>
        <w:tc>
          <w:tcPr>
            <w:tcW w:type="dxa" w:w="4062"/>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Deposer la marque</w:t>
            </w:r>
          </w:p>
        </w:tc>
        <w:tc>
          <w:tcPr>
            <w:tcW w:type="dxa" w:w="4964"/>
            <w:tcMar>
              <w:top w:type="dxa" w:w="70"/>
              <w:left w:type="dxa" w:w="110"/>
              <w:bottom w:type="dxa" w:w="70"/>
              <w:right w:type="dxa" w:w="110"/>
            </w:tcMar>
          </w:tcPr>
          <w:p>
            <w:pPr>
              <w:spacing w:after="0" w:line="252"/>
              <w:jc w:val="left"/>
            </w:pPr>
            <w:r>
              <w:rPr>
                <w:rFonts w:ascii="Consolas" w:cs="Consolas" w:eastAsia="Consolas" w:hAnsi="Consolas"/>
                <w:b w:val="false"/>
                <w:bCs w:val="false"/>
                <w:color w:val="191512"/>
                <w:sz w:val="19"/>
                <w:szCs w:val="19"/>
              </w:rPr>
              <w:t xml:space="preserve">procedures.inpi.fr</w:t>
            </w:r>
          </w:p>
        </w:tc>
      </w:tr>
      <w:tr>
        <w:tc>
          <w:tcPr>
            <w:tcW w:type="dxa" w:w="4062"/>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Chercher les marques et les entreprises</w:t>
            </w:r>
          </w:p>
        </w:tc>
        <w:tc>
          <w:tcPr>
            <w:tcW w:type="dxa" w:w="4964"/>
            <w:shd w:fill="FBF9F5" w:val="clear"/>
            <w:tcMar>
              <w:top w:type="dxa" w:w="70"/>
              <w:left w:type="dxa" w:w="110"/>
              <w:bottom w:type="dxa" w:w="70"/>
              <w:right w:type="dxa" w:w="110"/>
            </w:tcMar>
          </w:tcPr>
          <w:p>
            <w:pPr>
              <w:spacing w:after="0" w:line="252"/>
              <w:jc w:val="left"/>
            </w:pPr>
            <w:r>
              <w:rPr>
                <w:rFonts w:ascii="Consolas" w:cs="Consolas" w:eastAsia="Consolas" w:hAnsi="Consolas"/>
                <w:b w:val="false"/>
                <w:bCs w:val="false"/>
                <w:color w:val="191512"/>
                <w:sz w:val="19"/>
                <w:szCs w:val="19"/>
              </w:rPr>
              <w:t xml:space="preserve">data.inpi.fr</w:t>
            </w:r>
          </w:p>
        </w:tc>
      </w:tr>
      <w:tr>
        <w:tc>
          <w:tcPr>
            <w:tcW w:type="dxa" w:w="4062"/>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Chercher dans 81 offices</w:t>
            </w:r>
          </w:p>
        </w:tc>
        <w:tc>
          <w:tcPr>
            <w:tcW w:type="dxa" w:w="4964"/>
            <w:tcMar>
              <w:top w:type="dxa" w:w="70"/>
              <w:left w:type="dxa" w:w="110"/>
              <w:bottom w:type="dxa" w:w="70"/>
              <w:right w:type="dxa" w:w="110"/>
            </w:tcMar>
          </w:tcPr>
          <w:p>
            <w:pPr>
              <w:spacing w:after="0" w:line="252"/>
              <w:jc w:val="left"/>
            </w:pPr>
            <w:r>
              <w:rPr>
                <w:rFonts w:ascii="Consolas" w:cs="Consolas" w:eastAsia="Consolas" w:hAnsi="Consolas"/>
                <w:b w:val="false"/>
                <w:bCs w:val="false"/>
                <w:color w:val="191512"/>
                <w:sz w:val="19"/>
                <w:szCs w:val="19"/>
              </w:rPr>
              <w:t xml:space="preserve">tmview.org</w:t>
            </w:r>
          </w:p>
        </w:tc>
      </w:tr>
      <w:tr>
        <w:tc>
          <w:tcPr>
            <w:tcW w:type="dxa" w:w="4062"/>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Commander une recherche de disponibilite</w:t>
            </w:r>
          </w:p>
        </w:tc>
        <w:tc>
          <w:tcPr>
            <w:tcW w:type="dxa" w:w="4964"/>
            <w:shd w:fill="FBF9F5" w:val="clear"/>
            <w:tcMar>
              <w:top w:type="dxa" w:w="70"/>
              <w:left w:type="dxa" w:w="110"/>
              <w:bottom w:type="dxa" w:w="70"/>
              <w:right w:type="dxa" w:w="110"/>
            </w:tcMar>
          </w:tcPr>
          <w:p>
            <w:pPr>
              <w:spacing w:after="0" w:line="252"/>
              <w:jc w:val="left"/>
            </w:pPr>
            <w:r>
              <w:rPr>
                <w:rFonts w:ascii="Consolas" w:cs="Consolas" w:eastAsia="Consolas" w:hAnsi="Consolas"/>
                <w:b w:val="false"/>
                <w:bCs w:val="false"/>
                <w:color w:val="191512"/>
                <w:sz w:val="19"/>
                <w:szCs w:val="19"/>
              </w:rPr>
              <w:t xml:space="preserve">inpi.fr, rubrique prestations</w:t>
            </w:r>
          </w:p>
        </w:tc>
      </w:tr>
      <w:tr>
        <w:tc>
          <w:tcPr>
            <w:tcW w:type="dxa" w:w="4062"/>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Deposer une e-Soleau</w:t>
            </w:r>
          </w:p>
        </w:tc>
        <w:tc>
          <w:tcPr>
            <w:tcW w:type="dxa" w:w="4964"/>
            <w:tcMar>
              <w:top w:type="dxa" w:w="70"/>
              <w:left w:type="dxa" w:w="110"/>
              <w:bottom w:type="dxa" w:w="70"/>
              <w:right w:type="dxa" w:w="110"/>
            </w:tcMar>
          </w:tcPr>
          <w:p>
            <w:pPr>
              <w:spacing w:after="0" w:line="252"/>
              <w:jc w:val="left"/>
            </w:pPr>
            <w:r>
              <w:rPr>
                <w:rFonts w:ascii="Consolas" w:cs="Consolas" w:eastAsia="Consolas" w:hAnsi="Consolas"/>
                <w:b w:val="false"/>
                <w:bCs w:val="false"/>
                <w:color w:val="191512"/>
                <w:sz w:val="19"/>
                <w:szCs w:val="19"/>
              </w:rPr>
              <w:t xml:space="preserve">inpi.fr, service e-Soleau</w:t>
            </w:r>
          </w:p>
        </w:tc>
      </w:tr>
      <w:tr>
        <w:tc>
          <w:tcPr>
            <w:tcW w:type="dxa" w:w="4062"/>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Consulter la classification de Nice</w:t>
            </w:r>
          </w:p>
        </w:tc>
        <w:tc>
          <w:tcPr>
            <w:tcW w:type="dxa" w:w="4964"/>
            <w:shd w:fill="FBF9F5" w:val="clear"/>
            <w:tcMar>
              <w:top w:type="dxa" w:w="70"/>
              <w:left w:type="dxa" w:w="110"/>
              <w:bottom w:type="dxa" w:w="70"/>
              <w:right w:type="dxa" w:w="110"/>
            </w:tcMar>
          </w:tcPr>
          <w:p>
            <w:pPr>
              <w:spacing w:after="0" w:line="252"/>
              <w:jc w:val="left"/>
            </w:pPr>
            <w:r>
              <w:rPr>
                <w:rFonts w:ascii="Consolas" w:cs="Consolas" w:eastAsia="Consolas" w:hAnsi="Consolas"/>
                <w:b w:val="false"/>
                <w:bCs w:val="false"/>
                <w:color w:val="191512"/>
                <w:sz w:val="19"/>
                <w:szCs w:val="19"/>
              </w:rPr>
              <w:t xml:space="preserve">inpi.fr, classifications internationales</w:t>
            </w:r>
          </w:p>
        </w:tc>
      </w:tr>
      <w:tr>
        <w:tc>
          <w:tcPr>
            <w:tcW w:type="dxa" w:w="4062"/>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texte de la loi</w:t>
            </w:r>
          </w:p>
        </w:tc>
        <w:tc>
          <w:tcPr>
            <w:tcW w:type="dxa" w:w="4964"/>
            <w:tcMar>
              <w:top w:type="dxa" w:w="70"/>
              <w:left w:type="dxa" w:w="110"/>
              <w:bottom w:type="dxa" w:w="70"/>
              <w:right w:type="dxa" w:w="110"/>
            </w:tcMar>
          </w:tcPr>
          <w:p>
            <w:pPr>
              <w:spacing w:after="0" w:line="252"/>
              <w:jc w:val="left"/>
            </w:pPr>
            <w:r>
              <w:rPr>
                <w:rFonts w:ascii="Consolas" w:cs="Consolas" w:eastAsia="Consolas" w:hAnsi="Consolas"/>
                <w:b w:val="false"/>
                <w:bCs w:val="false"/>
                <w:color w:val="191512"/>
                <w:sz w:val="19"/>
                <w:szCs w:val="19"/>
              </w:rPr>
              <w:t xml:space="preserve">legifrance.gouv.fr, art. L711-1 a L714-5 CPI</w:t>
            </w:r>
          </w:p>
        </w:tc>
      </w:tr>
    </w:tbl>
    <w:p>
      <w:pPr>
        <w:pStyle w:val="Heading2"/>
        <w:spacing w:after="130" w:before="300"/>
      </w:pPr>
      <w:r>
        <w:rPr>
          <w:rFonts w:ascii="Arial" w:cs="Arial" w:eastAsia="Arial" w:hAnsi="Arial"/>
          <w:b/>
          <w:bCs/>
          <w:color w:val="191512"/>
          <w:sz w:val="25"/>
          <w:szCs w:val="25"/>
        </w:rPr>
        <w:t xml:space="preserve">9. L'e-Soleau</w:t>
      </w:r>
    </w:p>
    <w:p>
      <w:pPr>
        <w:spacing w:after="140" w:line="276"/>
        <w:jc w:val="left"/>
      </w:pPr>
      <w:r>
        <w:rPr>
          <w:rFonts w:ascii="Calibri" w:cs="Calibri" w:eastAsia="Calibri" w:hAnsi="Calibri"/>
          <w:b w:val="false"/>
          <w:bCs w:val="false"/>
          <w:i w:val="false"/>
          <w:iCs w:val="false"/>
          <w:color w:val="191512"/>
          <w:sz w:val="21"/>
          <w:szCs w:val="21"/>
        </w:rPr>
        <w:t xml:space="preserve">L'e-Soleau ne protege rien. </w:t>
      </w:r>
      <w:r>
        <w:rPr>
          <w:rFonts w:ascii="Calibri" w:cs="Calibri" w:eastAsia="Calibri" w:hAnsi="Calibri"/>
          <w:b/>
          <w:bCs/>
          <w:i w:val="false"/>
          <w:iCs w:val="false"/>
          <w:color w:val="191512"/>
          <w:sz w:val="21"/>
          <w:szCs w:val="21"/>
        </w:rPr>
        <w:t xml:space="preserve">Elle prouve une date.</w:t>
      </w:r>
      <w:r>
        <w:rPr>
          <w:rFonts w:ascii="Calibri" w:cs="Calibri" w:eastAsia="Calibri" w:hAnsi="Calibri"/>
          <w:b w:val="false"/>
          <w:bCs w:val="false"/>
          <w:i w:val="false"/>
          <w:iCs w:val="false"/>
          <w:color w:val="191512"/>
          <w:sz w:val="21"/>
          <w:szCs w:val="21"/>
        </w:rPr>
        <w:t xml:space="preserve"> C'est une enveloppe numerique deposee a l'INPI, qui horodate des documents et en conserve l'empreinte. Le recepisse porte la date, l'heure en temps universel et l'empreinte numerique de chaque fichier.</w:t>
      </w:r>
    </w:p>
    <w:tbl>
      <w:tblPr>
        <w:tblW w:type="dxa" w:w="9026"/>
        <w:tblBorders>
          <w:top w:val="single" w:color="C9C4BA" w:sz="4"/>
          <w:left w:val="none" w:sz="0"/>
          <w:bottom w:val="single" w:color="C9C4BA" w:sz="4"/>
          <w:right w:val="none" w:sz="0"/>
          <w:insideH w:val="single" w:color="DDD8CE" w:sz="2"/>
          <w:insideV w:val="none" w:sz="0"/>
        </w:tblBorders>
      </w:tblPr>
      <w:tblGrid>
        <w:gridCol w:w="1625"/>
        <w:gridCol w:w="3701"/>
        <w:gridCol w:w="3700"/>
      </w:tblGrid>
      <w:tr>
        <w:trPr>
          <w:tblHeader/>
        </w:trPr>
        <w:tc>
          <w:tcPr>
            <w:tcW w:type="dxa" w:w="1625"/>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
            </w:r>
          </w:p>
        </w:tc>
        <w:tc>
          <w:tcPr>
            <w:tcW w:type="dxa" w:w="3701"/>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Depot de marque</w:t>
            </w:r>
          </w:p>
        </w:tc>
        <w:tc>
          <w:tcPr>
            <w:tcW w:type="dxa" w:w="3700"/>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e-Soleau</w:t>
            </w:r>
          </w:p>
        </w:tc>
      </w:tr>
      <w:tr>
        <w:tc>
          <w:tcPr>
            <w:tcW w:type="dxa" w:w="162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Ce que ca donne</w:t>
            </w:r>
          </w:p>
        </w:tc>
        <w:tc>
          <w:tcPr>
            <w:tcW w:type="dxa" w:w="3701"/>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Un monopole : le droit d'interdire</w:t>
            </w:r>
          </w:p>
        </w:tc>
        <w:tc>
          <w:tcPr>
            <w:tcW w:type="dxa" w:w="3700"/>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Une preuve de date. Aucun droit d'interdire.</w:t>
            </w:r>
          </w:p>
        </w:tc>
      </w:tr>
      <w:tr>
        <w:tc>
          <w:tcPr>
            <w:tcW w:type="dxa" w:w="162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Contre qui</w:t>
            </w:r>
          </w:p>
        </w:tc>
        <w:tc>
          <w:tcPr>
            <w:tcW w:type="dxa" w:w="3701"/>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Tout le monde, pour les services designes</w:t>
            </w:r>
          </w:p>
        </w:tc>
        <w:tc>
          <w:tcPr>
            <w:tcW w:type="dxa" w:w="3700"/>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Seulement comme element de preuve, devant un juge</w:t>
            </w:r>
          </w:p>
        </w:tc>
      </w:tr>
      <w:tr>
        <w:tc>
          <w:tcPr>
            <w:tcW w:type="dxa" w:w="162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Cout</w:t>
            </w:r>
          </w:p>
        </w:tc>
        <w:tc>
          <w:tcPr>
            <w:tcW w:type="dxa" w:w="3701"/>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190 EUR + 40 EUR par classe</w:t>
            </w:r>
          </w:p>
        </w:tc>
        <w:tc>
          <w:tcPr>
            <w:tcW w:type="dxa" w:w="3700"/>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15 EUR jusqu'a 50 Mo, par periode de 5 ans</w:t>
            </w:r>
          </w:p>
        </w:tc>
      </w:tr>
      <w:tr>
        <w:tc>
          <w:tcPr>
            <w:tcW w:type="dxa" w:w="162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Duree</w:t>
            </w:r>
          </w:p>
        </w:tc>
        <w:tc>
          <w:tcPr>
            <w:tcW w:type="dxa" w:w="3701"/>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10 ans renouvelables sans limite</w:t>
            </w:r>
          </w:p>
        </w:tc>
        <w:tc>
          <w:tcPr>
            <w:tcW w:type="dxa" w:w="3700"/>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5, 10, 15 ou 20 ans, a fixer au depot</w:t>
            </w:r>
          </w:p>
        </w:tc>
      </w:tr>
      <w:tr>
        <w:tc>
          <w:tcPr>
            <w:tcW w:type="dxa" w:w="1625"/>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Examen</w:t>
            </w:r>
          </w:p>
        </w:tc>
        <w:tc>
          <w:tcPr>
            <w:tcW w:type="dxa" w:w="3701"/>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Oui, par l'INPI</w:t>
            </w:r>
          </w:p>
        </w:tc>
        <w:tc>
          <w:tcPr>
            <w:tcW w:type="dxa" w:w="3700"/>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Aucun. L'INPI ne lit pas le contenu</w:t>
            </w:r>
          </w:p>
        </w:tc>
      </w:tr>
      <w:tr>
        <w:tc>
          <w:tcPr>
            <w:tcW w:type="dxa" w:w="1625"/>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Publie ?</w:t>
            </w:r>
          </w:p>
        </w:tc>
        <w:tc>
          <w:tcPr>
            <w:tcW w:type="dxa" w:w="3701"/>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Oui, au BOPI</w:t>
            </w:r>
          </w:p>
        </w:tc>
        <w:tc>
          <w:tcPr>
            <w:tcW w:type="dxa" w:w="3700"/>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Non. Le contenu reste secret</w:t>
            </w:r>
          </w:p>
        </w:tc>
      </w:tr>
      <w:tr>
        <w:tc>
          <w:tcPr>
            <w:tcW w:type="dxa" w:w="1625"/>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A quoi ca sert ici</w:t>
            </w:r>
          </w:p>
        </w:tc>
        <w:tc>
          <w:tcPr>
            <w:tcW w:type="dxa" w:w="3701"/>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Proteger le nom, empecher un concurrent de l'utiliser</w:t>
            </w:r>
          </w:p>
        </w:tc>
        <w:tc>
          <w:tcPr>
            <w:tcW w:type="dxa" w:w="3700"/>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Dater les maquettes et l'architecture avant de les montrer a un tiers</w:t>
            </w:r>
          </w:p>
        </w:tc>
      </w:tr>
    </w:tbl>
    <w:p>
      <w:pPr>
        <w:spacing w:after="140" w:line="276"/>
        <w:jc w:val="left"/>
      </w:pPr>
      <w:r>
        <w:rPr>
          <w:rFonts w:ascii="Calibri" w:cs="Calibri" w:eastAsia="Calibri" w:hAnsi="Calibri"/>
          <w:b w:val="false"/>
          <w:bCs w:val="false"/>
          <w:i w:val="false"/>
          <w:iCs w:val="false"/>
          <w:color w:val="191512"/>
          <w:sz w:val="21"/>
          <w:szCs w:val="21"/>
        </w:rPr>
        <w:t xml:space="preserve">Limites techniques : de 1 a 100 fichiers, 2 gigaoctets maximum en formule avec conservation. Une seconde formule calcule seulement les empreintes, sans limite de taille mais sans conserver les fichiers. </w:t>
      </w:r>
      <w:r>
        <w:rPr>
          <w:rFonts w:ascii="Calibri" w:cs="Calibri" w:eastAsia="Calibri" w:hAnsi="Calibri"/>
          <w:b/>
          <w:bCs/>
          <w:i w:val="false"/>
          <w:iCs w:val="false"/>
          <w:color w:val="191512"/>
          <w:sz w:val="21"/>
          <w:szCs w:val="21"/>
        </w:rPr>
        <w:t xml:space="preserve">Dans ce cas, c'est a toi de garder les originaux</w:t>
      </w:r>
      <w:r>
        <w:rPr>
          <w:rFonts w:ascii="Calibri" w:cs="Calibri" w:eastAsia="Calibri" w:hAnsi="Calibri"/>
          <w:b w:val="false"/>
          <w:bCs w:val="false"/>
          <w:i w:val="false"/>
          <w:iCs w:val="false"/>
          <w:color w:val="191512"/>
          <w:sz w:val="21"/>
          <w:szCs w:val="21"/>
        </w:rPr>
        <w:t xml:space="preserve"> : sans eux, l'empreinte ne prouve rien.</w:t>
      </w:r>
    </w:p>
    <w:p>
      <w:pPr>
        <w:pStyle w:val="Heading3"/>
        <w:spacing w:after="100" w:before="220"/>
      </w:pPr>
      <w:r>
        <w:rPr>
          <w:rFonts w:ascii="Arial" w:cs="Arial" w:eastAsia="Arial" w:hAnsi="Arial"/>
          <w:b/>
          <w:bCs/>
          <w:color w:val="890026"/>
          <w:sz w:val="22"/>
          <w:szCs w:val="22"/>
        </w:rPr>
        <w:t xml:space="preserve">Ce qu'il faut y mettre, et dans quel ordre</w:t>
      </w:r>
    </w:p>
    <w:p>
      <w:pPr>
        <w:pStyle w:val="ListParagraph"/>
        <w:numPr>
          <w:ilvl w:val="0"/>
          <w:numId w:val="2"/>
        </w:numPr>
        <w:spacing w:after="80" w:line="264"/>
      </w:pPr>
      <w:r>
        <w:rPr>
          <w:rFonts w:ascii="Calibri" w:cs="Calibri" w:eastAsia="Calibri" w:hAnsi="Calibri"/>
          <w:b w:val="false"/>
          <w:bCs w:val="false"/>
          <w:i w:val="false"/>
          <w:iCs w:val="false"/>
          <w:color w:val="191512"/>
          <w:sz w:val="21"/>
          <w:szCs w:val="21"/>
        </w:rPr>
        <w:t xml:space="preserve">Un document de description du concept, date et signe, qui expose le probleme resolu, le fonctionnement et le modele economique.</w:t>
      </w:r>
    </w:p>
    <w:p>
      <w:pPr>
        <w:pStyle w:val="ListParagraph"/>
        <w:numPr>
          <w:ilvl w:val="0"/>
          <w:numId w:val="2"/>
        </w:numPr>
        <w:spacing w:after="80" w:line="264"/>
      </w:pPr>
      <w:r>
        <w:rPr>
          <w:rFonts w:ascii="Calibri" w:cs="Calibri" w:eastAsia="Calibri" w:hAnsi="Calibri"/>
          <w:b w:val="false"/>
          <w:bCs w:val="false"/>
          <w:i w:val="false"/>
          <w:iCs w:val="false"/>
          <w:color w:val="191512"/>
          <w:sz w:val="21"/>
          <w:szCs w:val="21"/>
        </w:rPr>
        <w:t xml:space="preserve">Les maquettes des ecrans, exportees en PDF.</w:t>
      </w:r>
    </w:p>
    <w:p>
      <w:pPr>
        <w:pStyle w:val="ListParagraph"/>
        <w:numPr>
          <w:ilvl w:val="0"/>
          <w:numId w:val="2"/>
        </w:numPr>
        <w:spacing w:after="80" w:line="264"/>
      </w:pPr>
      <w:r>
        <w:rPr>
          <w:rFonts w:ascii="Calibri" w:cs="Calibri" w:eastAsia="Calibri" w:hAnsi="Calibri"/>
          <w:b w:val="false"/>
          <w:bCs w:val="false"/>
          <w:i w:val="false"/>
          <w:iCs w:val="false"/>
          <w:color w:val="191512"/>
          <w:sz w:val="21"/>
          <w:szCs w:val="21"/>
        </w:rPr>
        <w:t xml:space="preserve">L'arborescence du site et le schema de la base de donnees.</w:t>
      </w:r>
    </w:p>
    <w:p>
      <w:pPr>
        <w:pStyle w:val="ListParagraph"/>
        <w:numPr>
          <w:ilvl w:val="0"/>
          <w:numId w:val="2"/>
        </w:numPr>
        <w:spacing w:after="80" w:line="264"/>
      </w:pPr>
      <w:r>
        <w:rPr>
          <w:rFonts w:ascii="Calibri" w:cs="Calibri" w:eastAsia="Calibri" w:hAnsi="Calibri"/>
          <w:b w:val="false"/>
          <w:bCs w:val="false"/>
          <w:i w:val="false"/>
          <w:iCs w:val="false"/>
          <w:color w:val="191512"/>
          <w:sz w:val="21"/>
          <w:szCs w:val="21"/>
        </w:rPr>
        <w:t xml:space="preserve">Les textes rediges, les conditions generales et la charte graphique.</w:t>
      </w:r>
    </w:p>
    <w:p>
      <w:pPr>
        <w:pStyle w:val="ListParagraph"/>
        <w:numPr>
          <w:ilvl w:val="0"/>
          <w:numId w:val="2"/>
        </w:numPr>
        <w:spacing w:after="80" w:line="264"/>
      </w:pPr>
      <w:r>
        <w:rPr>
          <w:rFonts w:ascii="Calibri" w:cs="Calibri" w:eastAsia="Calibri" w:hAnsi="Calibri"/>
          <w:b w:val="false"/>
          <w:bCs w:val="false"/>
          <w:i w:val="false"/>
          <w:iCs w:val="false"/>
          <w:color w:val="191512"/>
          <w:sz w:val="21"/>
          <w:szCs w:val="21"/>
        </w:rPr>
        <w:t xml:space="preserve">Une liste des fichiers deposes, pour retrouver plus tard ce que contenait l'enveloppe.</w:t>
      </w:r>
    </w:p>
    <w:tbl>
      <w:tblPr>
        <w:tblW w:type="dxa" w:w="9026"/>
        <w:tblBorders>
          <w:top w:val="single" w:color="116B40" w:sz="4"/>
          <w:left w:val="single" w:color="116B40" w:sz="24"/>
          <w:bottom w:val="single" w:color="116B40" w:sz="4"/>
          <w:right w:val="single" w:color="116B40"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116B40"/>
                <w:sz w:val="21"/>
                <w:szCs w:val="21"/>
              </w:rPr>
              <w:t xml:space="preserve">Le geste a faire quand meme</w:t>
            </w:r>
          </w:p>
          <w:p>
            <w:pPr>
              <w:spacing w:after="0" w:line="276"/>
            </w:pPr>
            <w:r>
              <w:rPr>
                <w:rFonts w:ascii="Calibri" w:cs="Calibri" w:eastAsia="Calibri" w:hAnsi="Calibri"/>
                <w:b/>
                <w:bCs/>
                <w:i w:val="false"/>
                <w:iCs w:val="false"/>
                <w:color w:val="191512"/>
                <w:sz w:val="21"/>
                <w:szCs w:val="21"/>
              </w:rPr>
              <w:t xml:space="preserve">15 euros et une heure de travail.</w:t>
            </w:r>
            <w:r>
              <w:rPr>
                <w:rFonts w:ascii="Calibri" w:cs="Calibri" w:eastAsia="Calibri" w:hAnsi="Calibri"/>
                <w:b w:val="false"/>
                <w:bCs w:val="false"/>
                <w:i w:val="false"/>
                <w:iCs w:val="false"/>
                <w:color w:val="191512"/>
                <w:sz w:val="21"/>
                <w:szCs w:val="21"/>
              </w:rPr>
              <w:t xml:space="preserve"> L'e-Soleau ne resout pas le probleme du nom, mais elle date tout le reste avant la moindre presentation a un investisseur, un prestataire ou un partenaire. C'est le seul acte de ce dossier qui ne demande aucune decision prealable.</w:t>
            </w:r>
          </w:p>
        </w:tc>
      </w:tr>
    </w:tbl>
    <w:p>
      <w:pPr>
        <w:spacing w:after="220"/>
      </w:pPr>
    </w:p>
    <w:p>
      <w:r>
        <w:br w:type="page"/>
      </w:r>
    </w:p>
    <w:p>
      <w:pPr>
        <w:pStyle w:val="Heading2"/>
        <w:spacing w:after="130" w:before="300"/>
      </w:pPr>
      <w:r>
        <w:rPr>
          <w:rFonts w:ascii="Arial" w:cs="Arial" w:eastAsia="Arial" w:hAnsi="Arial"/>
          <w:b/>
          <w:bCs/>
          <w:color w:val="191512"/>
          <w:sz w:val="25"/>
          <w:szCs w:val="25"/>
        </w:rPr>
        <w:t xml:space="preserve">10. La marche a suivre, dans l'ordre</w:t>
      </w:r>
    </w:p>
    <w:p>
      <w:pPr>
        <w:spacing w:after="140" w:line="276"/>
        <w:jc w:val="left"/>
      </w:pPr>
      <w:r>
        <w:rPr>
          <w:rFonts w:ascii="Calibri" w:cs="Calibri" w:eastAsia="Calibri" w:hAnsi="Calibri"/>
          <w:b w:val="false"/>
          <w:bCs w:val="false"/>
          <w:i w:val="false"/>
          <w:iCs w:val="false"/>
          <w:color w:val="191512"/>
          <w:sz w:val="21"/>
          <w:szCs w:val="21"/>
        </w:rPr>
        <w:t xml:space="preserve">L'ordre compte : chaque etape rend la suivante moins risquee ou moins chere.</w:t>
      </w:r>
    </w:p>
    <w:tbl>
      <w:tblPr>
        <w:tblW w:type="dxa" w:w="9026"/>
        <w:tblBorders>
          <w:top w:val="single" w:color="C9C4BA" w:sz="4"/>
          <w:left w:val="none" w:sz="0"/>
          <w:bottom w:val="single" w:color="C9C4BA" w:sz="4"/>
          <w:right w:val="none" w:sz="0"/>
          <w:insideH w:val="single" w:color="DDD8CE" w:sz="2"/>
          <w:insideV w:val="none" w:sz="0"/>
        </w:tblBorders>
      </w:tblPr>
      <w:tblGrid>
        <w:gridCol w:w="451"/>
        <w:gridCol w:w="4242"/>
        <w:gridCol w:w="1444"/>
        <w:gridCol w:w="2889"/>
      </w:tblGrid>
      <w:tr>
        <w:trPr>
          <w:tblHeader/>
        </w:trPr>
        <w:tc>
          <w:tcPr>
            <w:tcW w:type="dxa" w:w="451"/>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
            </w:r>
          </w:p>
        </w:tc>
        <w:tc>
          <w:tcPr>
            <w:tcW w:type="dxa" w:w="4242"/>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Quoi</w:t>
            </w:r>
          </w:p>
        </w:tc>
        <w:tc>
          <w:tcPr>
            <w:tcW w:type="dxa" w:w="144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Cout</w:t>
            </w:r>
          </w:p>
        </w:tc>
        <w:tc>
          <w:tcPr>
            <w:tcW w:type="dxa" w:w="2889"/>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Quand</w:t>
            </w:r>
          </w:p>
        </w:tc>
      </w:tr>
      <w:tr>
        <w:tc>
          <w:tcPr>
            <w:tcW w:type="dxa" w:w="451"/>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1</w:t>
            </w:r>
          </w:p>
        </w:tc>
        <w:tc>
          <w:tcPr>
            <w:tcW w:type="dxa" w:w="4242"/>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Deposer une e-Soleau avec les maquettes, l'arborescence et les textes.</w:t>
            </w:r>
          </w:p>
        </w:tc>
        <w:tc>
          <w:tcPr>
            <w:tcW w:type="dxa" w:w="1444"/>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15 EUR</w:t>
            </w:r>
          </w:p>
        </w:tc>
        <w:tc>
          <w:tcPr>
            <w:tcW w:type="dxa" w:w="2889"/>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Tout de suite. Aucune decision prealable.</w:t>
            </w:r>
          </w:p>
        </w:tc>
      </w:tr>
      <w:tr>
        <w:tc>
          <w:tcPr>
            <w:tcW w:type="dxa" w:w="451"/>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2</w:t>
            </w:r>
          </w:p>
        </w:tc>
        <w:tc>
          <w:tcPr>
            <w:tcW w:type="dxa" w:w="4242"/>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Faire trancher le nom par un conseil en propriete industrielle.</w:t>
            </w:r>
          </w:p>
        </w:tc>
        <w:tc>
          <w:tcPr>
            <w:tcW w:type="dxa" w:w="1444"/>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150 a 400 EUR</w:t>
            </w:r>
          </w:p>
        </w:tc>
        <w:tc>
          <w:tcPr>
            <w:tcW w:type="dxa" w:w="2889"/>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Avant toute autre depense. C'est l'etape qui evite de perdre le reste.</w:t>
            </w:r>
          </w:p>
        </w:tc>
      </w:tr>
      <w:tr>
        <w:tc>
          <w:tcPr>
            <w:tcW w:type="dxa" w:w="451"/>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3</w:t>
            </w:r>
          </w:p>
        </w:tc>
        <w:tc>
          <w:tcPr>
            <w:tcW w:type="dxa" w:w="4242"/>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Selon sa reponse : garder le nom en le renforcant, ou en changer.</w:t>
            </w:r>
          </w:p>
        </w:tc>
        <w:tc>
          <w:tcPr>
            <w:tcW w:type="dxa" w:w="1444"/>
            <w:tcMar>
              <w:top w:type="dxa" w:w="70"/>
              <w:left w:type="dxa" w:w="110"/>
              <w:bottom w:type="dxa" w:w="70"/>
              <w:right w:type="dxa" w:w="110"/>
            </w:tcMar>
          </w:tcPr>
          <w:p>
            <w:pPr>
              <w:spacing w:after="0" w:line="252"/>
              <w:jc w:val="right"/>
            </w:pPr>
            <w:r>
              <w:rPr>
                <w:rFonts w:ascii="Calibri" w:cs="Calibri" w:eastAsia="Calibri" w:hAnsi="Calibri"/>
                <w:b w:val="false"/>
                <w:bCs w:val="false"/>
                <w:color w:val="191512"/>
                <w:sz w:val="19"/>
                <w:szCs w:val="19"/>
              </w:rPr>
              <w:t xml:space="preserve">-</w:t>
            </w:r>
          </w:p>
        </w:tc>
        <w:tc>
          <w:tcPr>
            <w:tcW w:type="dxa" w:w="2889"/>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Dans la foulee.</w:t>
            </w:r>
          </w:p>
        </w:tc>
      </w:tr>
      <w:tr>
        <w:tc>
          <w:tcPr>
            <w:tcW w:type="dxa" w:w="451"/>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4</w:t>
            </w:r>
          </w:p>
        </w:tc>
        <w:tc>
          <w:tcPr>
            <w:tcW w:type="dxa" w:w="4242"/>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Commander a l'INPI la recherche marques + societes + noms de domaine, sur le nom retenu.</w:t>
            </w:r>
          </w:p>
        </w:tc>
        <w:tc>
          <w:tcPr>
            <w:tcW w:type="dxa" w:w="1444"/>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150 EUR</w:t>
            </w:r>
          </w:p>
        </w:tc>
        <w:tc>
          <w:tcPr>
            <w:tcW w:type="dxa" w:w="2889"/>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2 a 10 jours ouvres de delai.</w:t>
            </w:r>
          </w:p>
        </w:tc>
      </w:tr>
      <w:tr>
        <w:tc>
          <w:tcPr>
            <w:tcW w:type="dxa" w:w="451"/>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5</w:t>
            </w:r>
          </w:p>
        </w:tc>
        <w:tc>
          <w:tcPr>
            <w:tcW w:type="dxa" w:w="4242"/>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Arreter les classes et rediger les libelles, a partir des libelles pre-approuves de l'INPI.</w:t>
            </w:r>
          </w:p>
        </w:tc>
        <w:tc>
          <w:tcPr>
            <w:tcW w:type="dxa" w:w="1444"/>
            <w:tcMar>
              <w:top w:type="dxa" w:w="70"/>
              <w:left w:type="dxa" w:w="110"/>
              <w:bottom w:type="dxa" w:w="70"/>
              <w:right w:type="dxa" w:w="110"/>
            </w:tcMar>
          </w:tcPr>
          <w:p>
            <w:pPr>
              <w:spacing w:after="0" w:line="252"/>
              <w:jc w:val="right"/>
            </w:pPr>
            <w:r>
              <w:rPr>
                <w:rFonts w:ascii="Calibri" w:cs="Calibri" w:eastAsia="Calibri" w:hAnsi="Calibri"/>
                <w:b w:val="false"/>
                <w:bCs w:val="false"/>
                <w:color w:val="191512"/>
                <w:sz w:val="19"/>
                <w:szCs w:val="19"/>
              </w:rPr>
              <w:t xml:space="preserve">-</w:t>
            </w:r>
          </w:p>
        </w:tc>
        <w:tc>
          <w:tcPr>
            <w:tcW w:type="dxa" w:w="2889"/>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Avant le depot.</w:t>
            </w:r>
          </w:p>
        </w:tc>
      </w:tr>
      <w:tr>
        <w:tc>
          <w:tcPr>
            <w:tcW w:type="dxa" w:w="451"/>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6</w:t>
            </w:r>
          </w:p>
        </w:tc>
        <w:tc>
          <w:tcPr>
            <w:tcW w:type="dxa" w:w="4242"/>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Deposer sur procedures.inpi.fr.</w:t>
            </w:r>
          </w:p>
        </w:tc>
        <w:tc>
          <w:tcPr>
            <w:tcW w:type="dxa" w:w="1444"/>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230 a 270 EUR</w:t>
            </w:r>
          </w:p>
        </w:tc>
        <w:tc>
          <w:tcPr>
            <w:tcW w:type="dxa" w:w="2889"/>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Paiement au depot.</w:t>
            </w:r>
          </w:p>
        </w:tc>
      </w:tr>
      <w:tr>
        <w:tc>
          <w:tcPr>
            <w:tcW w:type="dxa" w:w="451"/>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7</w:t>
            </w:r>
          </w:p>
        </w:tc>
        <w:tc>
          <w:tcPr>
            <w:tcW w:type="dxa" w:w="4242"/>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Surveiller la publication au BOPI et la fenetre d'opposition.</w:t>
            </w:r>
          </w:p>
        </w:tc>
        <w:tc>
          <w:tcPr>
            <w:tcW w:type="dxa" w:w="1444"/>
            <w:tcMar>
              <w:top w:type="dxa" w:w="70"/>
              <w:left w:type="dxa" w:w="110"/>
              <w:bottom w:type="dxa" w:w="70"/>
              <w:right w:type="dxa" w:w="110"/>
            </w:tcMar>
          </w:tcPr>
          <w:p>
            <w:pPr>
              <w:spacing w:after="0" w:line="252"/>
              <w:jc w:val="right"/>
            </w:pPr>
            <w:r>
              <w:rPr>
                <w:rFonts w:ascii="Calibri" w:cs="Calibri" w:eastAsia="Calibri" w:hAnsi="Calibri"/>
                <w:b w:val="false"/>
                <w:bCs w:val="false"/>
                <w:color w:val="191512"/>
                <w:sz w:val="19"/>
                <w:szCs w:val="19"/>
              </w:rPr>
              <w:t xml:space="preserve">-</w:t>
            </w:r>
          </w:p>
        </w:tc>
        <w:tc>
          <w:tcPr>
            <w:tcW w:type="dxa" w:w="2889"/>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6 semaines, puis 2 mois.</w:t>
            </w:r>
          </w:p>
        </w:tc>
      </w:tr>
      <w:tr>
        <w:tc>
          <w:tcPr>
            <w:tcW w:type="dxa" w:w="451"/>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8</w:t>
            </w:r>
          </w:p>
        </w:tc>
        <w:tc>
          <w:tcPr>
            <w:tcW w:type="dxa" w:w="4242"/>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Commencer a exploiter la marque, et en garder les preuves datees.</w:t>
            </w:r>
          </w:p>
        </w:tc>
        <w:tc>
          <w:tcPr>
            <w:tcW w:type="dxa" w:w="1444"/>
            <w:shd w:fill="FBF9F5" w:val="clear"/>
            <w:tcMar>
              <w:top w:type="dxa" w:w="70"/>
              <w:left w:type="dxa" w:w="110"/>
              <w:bottom w:type="dxa" w:w="70"/>
              <w:right w:type="dxa" w:w="110"/>
            </w:tcMar>
          </w:tcPr>
          <w:p>
            <w:pPr>
              <w:spacing w:after="0" w:line="252"/>
              <w:jc w:val="right"/>
            </w:pPr>
            <w:r>
              <w:rPr>
                <w:rFonts w:ascii="Calibri" w:cs="Calibri" w:eastAsia="Calibri" w:hAnsi="Calibri"/>
                <w:b w:val="false"/>
                <w:bCs w:val="false"/>
                <w:color w:val="191512"/>
                <w:sz w:val="19"/>
                <w:szCs w:val="19"/>
              </w:rPr>
              <w:t xml:space="preserve">-</w:t>
            </w:r>
          </w:p>
        </w:tc>
        <w:tc>
          <w:tcPr>
            <w:tcW w:type="dxa" w:w="2889"/>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Des le depot. Le compteur de la decheance court a 5 ans.</w:t>
            </w:r>
          </w:p>
        </w:tc>
      </w:tr>
    </w:tbl>
    <w:p>
      <w:pPr>
        <w:spacing w:after="140" w:line="276"/>
        <w:jc w:val="left"/>
      </w:pPr>
      <w:r>
        <w:rPr>
          <w:rFonts w:ascii="Calibri" w:cs="Calibri" w:eastAsia="Calibri" w:hAnsi="Calibri"/>
          <w:b w:val="false"/>
          <w:bCs w:val="false"/>
          <w:i w:val="false"/>
          <w:iCs w:val="false"/>
          <w:color w:val="191512"/>
          <w:sz w:val="21"/>
          <w:szCs w:val="21"/>
        </w:rPr>
        <w:t xml:space="preserve">Budget d'ensemble, hors conseil : </w:t>
      </w:r>
      <w:r>
        <w:rPr>
          <w:rFonts w:ascii="Calibri" w:cs="Calibri" w:eastAsia="Calibri" w:hAnsi="Calibri"/>
          <w:b/>
          <w:bCs/>
          <w:i w:val="false"/>
          <w:iCs w:val="false"/>
          <w:color w:val="191512"/>
          <w:sz w:val="21"/>
          <w:szCs w:val="21"/>
        </w:rPr>
        <w:t xml:space="preserve">environ 435 a 475 euros</w:t>
      </w:r>
      <w:r>
        <w:rPr>
          <w:rFonts w:ascii="Calibri" w:cs="Calibri" w:eastAsia="Calibri" w:hAnsi="Calibri"/>
          <w:b w:val="false"/>
          <w:bCs w:val="false"/>
          <w:i w:val="false"/>
          <w:iCs w:val="false"/>
          <w:color w:val="191512"/>
          <w:sz w:val="21"/>
          <w:szCs w:val="21"/>
        </w:rPr>
        <w:t xml:space="preserve"> pour une e-Soleau, une recherche serieuse et un depot en deux ou trois classes. Avec le conseil, compter entre 600 et 900 euros. </w:t>
      </w:r>
      <w:r>
        <w:rPr>
          <w:rFonts w:ascii="Calibri" w:cs="Calibri" w:eastAsia="Calibri" w:hAnsi="Calibri"/>
          <w:b/>
          <w:bCs/>
          <w:i w:val="false"/>
          <w:iCs w:val="false"/>
          <w:color w:val="191512"/>
          <w:sz w:val="21"/>
          <w:szCs w:val="21"/>
        </w:rPr>
        <w:t xml:space="preserve">C'est le prix d'un depot qui tient.</w:t>
      </w:r>
    </w:p>
    <w:p>
      <w:pPr>
        <w:pStyle w:val="Heading3"/>
        <w:spacing w:after="100" w:before="220"/>
      </w:pPr>
      <w:r>
        <w:rPr>
          <w:rFonts w:ascii="Arial" w:cs="Arial" w:eastAsia="Arial" w:hAnsi="Arial"/>
          <w:b/>
          <w:bCs/>
          <w:color w:val="890026"/>
          <w:sz w:val="22"/>
          <w:szCs w:val="22"/>
        </w:rPr>
        <w:t xml:space="preserve">La checklist avant de cliquer sur « deposer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nom retenu n'est pas exclusivement descriptif du service, ou il est accompagne d'un element distinctif.</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Une recherche de similarites, pas seulement a l'identique, a ete faite sur ce nom.</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Les marques ADISPO, DISPO et voisines ont ete examinees, classe par classe, par un professionnel.</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statut de la societe ADISPO INTERIM a ete instruit.</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deposant est la bonne personne : societe immatriculee, ou personne physique avec la mention « pour le compte de la societe en cours de formation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Les classes retenues correspondent a une activite reellement exercee, ou qui le sera sous cinq ans.</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Les libelles sont rediges avec clarte et precision, en francais, et verifies contre l'apercu de libelles pre-approuves.</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logo, s'il est depose, comporte un element arbitraire et non une simple illustration du service.</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Une e-Soleau a deja date les documents de conception.</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budget de renouvellement a dix ans est connu : 290 euros plus 40 par classe supplementaire.</w:t>
      </w:r>
    </w:p>
    <w:p>
      <w:pPr>
        <w:pStyle w:val="Heading2"/>
        <w:spacing w:after="130" w:before="300"/>
      </w:pPr>
      <w:r>
        <w:rPr>
          <w:rFonts w:ascii="Arial" w:cs="Arial" w:eastAsia="Arial" w:hAnsi="Arial"/>
          <w:b/>
          <w:bCs/>
          <w:color w:val="191512"/>
          <w:sz w:val="25"/>
          <w:szCs w:val="25"/>
        </w:rPr>
        <w:t xml:space="preserve">11. Ce qui releve d'un conseil, et pourquoi</w:t>
      </w:r>
    </w:p>
    <w:p>
      <w:pPr>
        <w:spacing w:after="140" w:line="276"/>
        <w:jc w:val="left"/>
      </w:pPr>
      <w:r>
        <w:rPr>
          <w:rFonts w:ascii="Calibri" w:cs="Calibri" w:eastAsia="Calibri" w:hAnsi="Calibri"/>
          <w:b w:val="false"/>
          <w:bCs w:val="false"/>
          <w:i w:val="false"/>
          <w:iCs w:val="false"/>
          <w:color w:val="191512"/>
          <w:sz w:val="21"/>
          <w:szCs w:val="21"/>
        </w:rPr>
        <w:t xml:space="preserve">Ce dossier etablit des faits et les source. Il ne remplace pas un avis. Cinq points, ici, demandent un conseil en propriete industrielle ou un avocat specialise, et l'INPI le dit lui-meme : il livre des resultats bruts et </w:t>
      </w:r>
      <w:r>
        <w:rPr>
          <w:rFonts w:ascii="Calibri" w:cs="Calibri" w:eastAsia="Calibri" w:hAnsi="Calibri"/>
          <w:b/>
          <w:bCs/>
          <w:i w:val="false"/>
          <w:iCs w:val="false"/>
          <w:color w:val="191512"/>
          <w:sz w:val="21"/>
          <w:szCs w:val="21"/>
        </w:rPr>
        <w:t xml:space="preserve">n'en donne aucune interpretation</w:t>
      </w:r>
      <w:r>
        <w:rPr>
          <w:rFonts w:ascii="Calibri" w:cs="Calibri" w:eastAsia="Calibri" w:hAnsi="Calibri"/>
          <w:b w:val="false"/>
          <w:bCs w:val="false"/>
          <w:i w:val="false"/>
          <w:iCs w:val="false"/>
          <w:color w:val="191512"/>
          <w:sz w:val="21"/>
          <w:szCs w:val="21"/>
        </w:rPr>
        <w:t xml:space="preserve">.</w:t>
      </w:r>
    </w:p>
    <w:tbl>
      <w:tblPr>
        <w:tblW w:type="dxa" w:w="9026"/>
        <w:tblBorders>
          <w:top w:val="single" w:color="C9C4BA" w:sz="4"/>
          <w:left w:val="none" w:sz="0"/>
          <w:bottom w:val="single" w:color="C9C4BA" w:sz="4"/>
          <w:right w:val="none" w:sz="0"/>
          <w:insideH w:val="single" w:color="DDD8CE" w:sz="2"/>
          <w:insideV w:val="none" w:sz="0"/>
        </w:tblBorders>
      </w:tblPr>
      <w:tblGrid>
        <w:gridCol w:w="2708"/>
        <w:gridCol w:w="6318"/>
      </w:tblGrid>
      <w:tr>
        <w:trPr>
          <w:tblHeader/>
        </w:trPr>
        <w:tc>
          <w:tcPr>
            <w:tcW w:type="dxa" w:w="2708"/>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Le point</w:t>
            </w:r>
          </w:p>
        </w:tc>
        <w:tc>
          <w:tcPr>
            <w:tcW w:type="dxa" w:w="6318"/>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Pourquoi un professionnel, et pas nous</w:t>
            </w:r>
          </w:p>
        </w:tc>
      </w:tr>
      <w:tr>
        <w:tc>
          <w:tcPr>
            <w:tcW w:type="dxa" w:w="2708"/>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Le caractere distinctif de « a dispo »</w:t>
            </w:r>
          </w:p>
        </w:tc>
        <w:tc>
          <w:tcPr>
            <w:tcW w:type="dxa" w:w="6318"/>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C'est une appreciation, pas un calcul. Elle depend des services designes, de la perception du public concerne et d'une jurisprudence mouvante. Un conseil dira en une heure ce que nous ne pouvons qu'estimer.</w:t>
            </w:r>
          </w:p>
        </w:tc>
      </w:tr>
      <w:tr>
        <w:tc>
          <w:tcPr>
            <w:tcW w:type="dxa" w:w="2708"/>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Le risque de conflit avec ADISPO et DISPO</w:t>
            </w:r>
          </w:p>
        </w:tc>
        <w:tc>
          <w:tcPr>
            <w:tcW w:type="dxa" w:w="6318"/>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risque de confusion s'apprecie globalement : ressemblance des signes, similarite des services, notoriete. Deux marques vivantes couvrent deja les classes 35 et 42.</w:t>
            </w:r>
          </w:p>
        </w:tc>
      </w:tr>
      <w:tr>
        <w:tc>
          <w:tcPr>
            <w:tcW w:type="dxa" w:w="2708"/>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L'usage serieux de ADISPO FR3180615</w:t>
            </w:r>
          </w:p>
        </w:tc>
        <w:tc>
          <w:tcPr>
            <w:tcW w:type="dxa" w:w="6318"/>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Si elle n'est pas exploitee depuis cinq ans, elle est attaquable. Cela se fait CONSTATER, pas deduire de l'absence de site web.</w:t>
            </w:r>
          </w:p>
        </w:tc>
      </w:tr>
      <w:tr>
        <w:tc>
          <w:tcPr>
            <w:tcW w:type="dxa" w:w="2708"/>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La redaction des libelles</w:t>
            </w:r>
          </w:p>
        </w:tc>
        <w:tc>
          <w:tcPr>
            <w:tcW w:type="dxa" w:w="6318"/>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Un libelle mal ecrit se paie deux fois : refus partiel a l'examen, ou protection trouee decouverte le jour d'un litige.</w:t>
            </w:r>
          </w:p>
        </w:tc>
      </w:tr>
      <w:tr>
        <w:tc>
          <w:tcPr>
            <w:tcW w:type="dxa" w:w="2708"/>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L'arbitrage marque francaise ou europeenne</w:t>
            </w:r>
          </w:p>
        </w:tc>
        <w:tc>
          <w:tcPr>
            <w:tcW w:type="dxa" w:w="6318"/>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Si l'ambition depasse la France, deposer d'abord en France puis en Europe n'est pas toujours le moins cher ni le plus sur.</w:t>
            </w:r>
          </w:p>
        </w:tc>
      </w:tr>
    </w:tbl>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Ce que je recommande, en une phrase</w:t>
            </w:r>
          </w:p>
          <w:p>
            <w:pPr>
              <w:spacing w:after="90" w:line="276"/>
            </w:pPr>
            <w:r>
              <w:rPr>
                <w:rFonts w:ascii="Calibri" w:cs="Calibri" w:eastAsia="Calibri" w:hAnsi="Calibri"/>
                <w:b/>
                <w:bCs/>
                <w:i w:val="false"/>
                <w:iCs w:val="false"/>
                <w:color w:val="191512"/>
                <w:sz w:val="21"/>
                <w:szCs w:val="21"/>
              </w:rPr>
              <w:t xml:space="preserve">Ne depose rien avant d'avoir fait regarder le nom.</w:t>
            </w:r>
            <w:r>
              <w:rPr>
                <w:rFonts w:ascii="Calibri" w:cs="Calibri" w:eastAsia="Calibri" w:hAnsi="Calibri"/>
                <w:b w:val="false"/>
                <w:bCs w:val="false"/>
                <w:i w:val="false"/>
                <w:iCs w:val="false"/>
                <w:color w:val="191512"/>
                <w:sz w:val="21"/>
                <w:szCs w:val="21"/>
              </w:rPr>
              <w:t xml:space="preserve"> Entre le caractere descriptif de « a dispo » et deux marques vivantes qui occupent deja les classes 35 et 42, le dossier cumule les deux motifs de perte : le refus par l'INPI, et l'opposition par un tiers.</w:t>
            </w:r>
          </w:p>
          <w:p>
            <w:pPr>
              <w:spacing w:after="0" w:line="276"/>
            </w:pPr>
            <w:r>
              <w:rPr>
                <w:rFonts w:ascii="Calibri" w:cs="Calibri" w:eastAsia="Calibri" w:hAnsi="Calibri"/>
                <w:b w:val="false"/>
                <w:bCs w:val="false"/>
                <w:i w:val="false"/>
                <w:iCs w:val="false"/>
                <w:color w:val="191512"/>
                <w:sz w:val="21"/>
                <w:szCs w:val="21"/>
              </w:rPr>
              <w:t xml:space="preserve">Une consultation coute moins cher qu'un depot perdu, et infiniment moins cher qu'un changement de nom apres le lancement.</w:t>
            </w:r>
          </w:p>
        </w:tc>
      </w:tr>
    </w:tbl>
    <w:p>
      <w:pPr>
        <w:spacing w:after="220"/>
      </w:pPr>
    </w:p>
    <w:p>
      <w:r>
        <w:br w:type="page"/>
      </w:r>
    </w:p>
    <w:p>
      <w:pPr>
        <w:pStyle w:val="Heading1"/>
        <w:pBdr>
          <w:bottom w:val="single" w:color="890026" w:sz="10" w:space="6"/>
        </w:pBdr>
        <w:spacing w:after="180" w:before="380"/>
      </w:pPr>
      <w:r>
        <w:rPr>
          <w:rFonts w:ascii="Arial" w:cs="Arial" w:eastAsia="Arial" w:hAnsi="Arial"/>
          <w:b/>
          <w:bCs/>
          <w:color w:val="191512"/>
          <w:sz w:val="32"/>
          <w:szCs w:val="32"/>
        </w:rPr>
        <w:t xml:space="preserve">Partie 2. Encaisser les abonnements : BNP Paribas ou Stripe</w:t>
      </w:r>
    </w:p>
    <w:p>
      <w:pPr>
        <w:spacing w:after="140" w:line="276"/>
        <w:jc w:val="left"/>
      </w:pPr>
      <w:r>
        <w:rPr>
          <w:rFonts w:ascii="Calibri" w:cs="Calibri" w:eastAsia="Calibri" w:hAnsi="Calibri"/>
          <w:b w:val="false"/>
          <w:bCs w:val="false"/>
          <w:i w:val="false"/>
          <w:iCs w:val="false"/>
          <w:color w:val="191512"/>
          <w:sz w:val="21"/>
          <w:szCs w:val="21"/>
        </w:rPr>
        <w:t xml:space="preserve">Cette partie repond a une question simple : </w:t>
      </w:r>
      <w:r>
        <w:rPr>
          <w:rFonts w:ascii="Calibri" w:cs="Calibri" w:eastAsia="Calibri" w:hAnsi="Calibri"/>
          <w:b/>
          <w:bCs/>
          <w:i w:val="false"/>
          <w:iCs w:val="false"/>
          <w:color w:val="191512"/>
          <w:sz w:val="21"/>
          <w:szCs w:val="21"/>
        </w:rPr>
        <w:t xml:space="preserve">par qui faire passer l'argent de l'abonnement, et combien ca coute vraiment</w:t>
      </w:r>
      <w:r>
        <w:rPr>
          <w:rFonts w:ascii="Calibri" w:cs="Calibri" w:eastAsia="Calibri" w:hAnsi="Calibri"/>
          <w:b w:val="false"/>
          <w:bCs w:val="false"/>
          <w:i w:val="false"/>
          <w:iCs w:val="false"/>
          <w:color w:val="191512"/>
          <w:sz w:val="21"/>
          <w:szCs w:val="21"/>
        </w:rPr>
        <w:t xml:space="preserve">. Elle est ecrite sans jargon. Les chiffres viennent des tarifs publics releves le 20 septembre 2026, et de la proposition commerciale de la BNP.</w:t>
      </w:r>
    </w:p>
    <w:p>
      <w:pPr>
        <w:pStyle w:val="Heading2"/>
        <w:spacing w:after="130" w:before="300"/>
      </w:pPr>
      <w:r>
        <w:rPr>
          <w:rFonts w:ascii="Arial" w:cs="Arial" w:eastAsia="Arial" w:hAnsi="Arial"/>
          <w:b/>
          <w:bCs/>
          <w:color w:val="191512"/>
          <w:sz w:val="25"/>
          <w:szCs w:val="25"/>
        </w:rPr>
        <w:t xml:space="preserve">1. Deux metiers differents, souvent confondus</w:t>
      </w:r>
    </w:p>
    <w:p>
      <w:pPr>
        <w:spacing w:after="140" w:line="276"/>
        <w:jc w:val="left"/>
      </w:pPr>
      <w:r>
        <w:rPr>
          <w:rFonts w:ascii="Calibri" w:cs="Calibri" w:eastAsia="Calibri" w:hAnsi="Calibri"/>
          <w:b w:val="false"/>
          <w:bCs w:val="false"/>
          <w:i w:val="false"/>
          <w:iCs w:val="false"/>
          <w:color w:val="191512"/>
          <w:sz w:val="21"/>
          <w:szCs w:val="21"/>
        </w:rPr>
        <w:t xml:space="preserve">Encaisser un abonnement, ce sont en realite deux travaux separes.</w:t>
      </w:r>
    </w:p>
    <w:p>
      <w:pPr>
        <w:spacing w:after="140" w:line="276"/>
        <w:jc w:val="left"/>
      </w:pPr>
      <w:r>
        <w:rPr>
          <w:rFonts w:ascii="Calibri" w:cs="Calibri" w:eastAsia="Calibri" w:hAnsi="Calibri"/>
          <w:b/>
          <w:bCs/>
          <w:i w:val="false"/>
          <w:iCs w:val="false"/>
          <w:color w:val="191512"/>
          <w:sz w:val="21"/>
          <w:szCs w:val="21"/>
        </w:rPr>
        <w:t xml:space="preserve">La caisse.</w:t>
      </w:r>
      <w:r>
        <w:rPr>
          <w:rFonts w:ascii="Calibri" w:cs="Calibri" w:eastAsia="Calibri" w:hAnsi="Calibri"/>
          <w:b w:val="false"/>
          <w:bCs w:val="false"/>
          <w:i w:val="false"/>
          <w:iCs w:val="false"/>
          <w:color w:val="191512"/>
          <w:sz w:val="21"/>
          <w:szCs w:val="21"/>
        </w:rPr>
        <w:t xml:space="preserve"> Prendre l'argent sur la carte du client et le virer sur ton compte. C'est technique, c'est reglemente, et ca ne se bricole pas.</w:t>
      </w:r>
    </w:p>
    <w:p>
      <w:pPr>
        <w:spacing w:after="140" w:line="276"/>
        <w:jc w:val="left"/>
      </w:pPr>
      <w:r>
        <w:rPr>
          <w:rFonts w:ascii="Calibri" w:cs="Calibri" w:eastAsia="Calibri" w:hAnsi="Calibri"/>
          <w:b/>
          <w:bCs/>
          <w:i w:val="false"/>
          <w:iCs w:val="false"/>
          <w:color w:val="191512"/>
          <w:sz w:val="21"/>
          <w:szCs w:val="21"/>
        </w:rPr>
        <w:t xml:space="preserve">Le carnet de comptes.</w:t>
      </w:r>
      <w:r>
        <w:rPr>
          <w:rFonts w:ascii="Calibri" w:cs="Calibri" w:eastAsia="Calibri" w:hAnsi="Calibri"/>
          <w:b w:val="false"/>
          <w:bCs w:val="false"/>
          <w:i w:val="false"/>
          <w:iCs w:val="false"/>
          <w:color w:val="191512"/>
          <w:sz w:val="21"/>
          <w:szCs w:val="21"/>
        </w:rPr>
        <w:t xml:space="preserve"> Savoir qui a paye, qui doit payer le 3 du mois prochain, qui est en retard, a qui envoyer une facture, a qui offrir un mois, quoi rembourser si quelqu'un part au milieu du mois.</w:t>
      </w:r>
    </w:p>
    <w:tbl>
      <w:tblPr>
        <w:tblW w:type="dxa" w:w="9026"/>
        <w:tblBorders>
          <w:top w:val="single" w:color="890026" w:sz="4"/>
          <w:left w:val="single" w:color="890026" w:sz="24"/>
          <w:bottom w:val="single" w:color="890026" w:sz="4"/>
          <w:right w:val="single" w:color="890026"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890026"/>
                <w:sz w:val="21"/>
                <w:szCs w:val="21"/>
              </w:rPr>
              <w:t xml:space="preserve">La difference qui coute le plus cher</w:t>
            </w:r>
          </w:p>
          <w:p>
            <w:pPr>
              <w:spacing w:after="90" w:line="276"/>
            </w:pPr>
            <w:r>
              <w:rPr>
                <w:rFonts w:ascii="Calibri" w:cs="Calibri" w:eastAsia="Calibri" w:hAnsi="Calibri"/>
                <w:b/>
                <w:bCs/>
                <w:i w:val="false"/>
                <w:iCs w:val="false"/>
                <w:color w:val="191512"/>
                <w:sz w:val="21"/>
                <w:szCs w:val="21"/>
              </w:rPr>
              <w:t xml:space="preserve">BNP Paribas Axepta vend la caisse.</w:t>
            </w:r>
            <w:r>
              <w:rPr>
                <w:rFonts w:ascii="Calibri" w:cs="Calibri" w:eastAsia="Calibri" w:hAnsi="Calibri"/>
                <w:b w:val="false"/>
                <w:bCs w:val="false"/>
                <w:i w:val="false"/>
                <w:iCs w:val="false"/>
                <w:color w:val="191512"/>
                <w:sz w:val="21"/>
                <w:szCs w:val="21"/>
              </w:rPr>
              <w:t xml:space="preserve"> Rien d'autre.</w:t>
            </w:r>
          </w:p>
          <w:p>
            <w:pPr>
              <w:spacing w:after="90" w:line="276"/>
            </w:pPr>
            <w:r>
              <w:rPr>
                <w:rFonts w:ascii="Calibri" w:cs="Calibri" w:eastAsia="Calibri" w:hAnsi="Calibri"/>
                <w:b w:val="false"/>
                <w:bCs w:val="false"/>
                <w:i w:val="false"/>
                <w:iCs w:val="false"/>
                <w:color w:val="191512"/>
                <w:sz w:val="21"/>
                <w:szCs w:val="21"/>
              </w:rPr>
              <w:t xml:space="preserve">Stripe vend la caisse </w:t>
            </w:r>
            <w:r>
              <w:rPr>
                <w:rFonts w:ascii="Calibri" w:cs="Calibri" w:eastAsia="Calibri" w:hAnsi="Calibri"/>
                <w:b/>
                <w:bCs/>
                <w:i/>
                <w:iCs/>
                <w:color w:val="191512"/>
                <w:sz w:val="21"/>
                <w:szCs w:val="21"/>
              </w:rPr>
              <w:t xml:space="preserve">et</w:t>
            </w:r>
            <w:r>
              <w:rPr>
                <w:rFonts w:ascii="Calibri" w:cs="Calibri" w:eastAsia="Calibri" w:hAnsi="Calibri"/>
                <w:b w:val="false"/>
                <w:bCs w:val="false"/>
                <w:i w:val="false"/>
                <w:iCs w:val="false"/>
                <w:color w:val="191512"/>
                <w:sz w:val="21"/>
                <w:szCs w:val="21"/>
              </w:rPr>
              <w:t xml:space="preserve"> le carnet. Le carnet s'appelle Stripe Billing.</w:t>
            </w:r>
          </w:p>
          <w:p>
            <w:pPr>
              <w:spacing w:after="0" w:line="276"/>
            </w:pPr>
            <w:r>
              <w:rPr>
                <w:rFonts w:ascii="Calibri" w:cs="Calibri" w:eastAsia="Calibri" w:hAnsi="Calibri"/>
                <w:b w:val="false"/>
                <w:bCs w:val="false"/>
                <w:i w:val="false"/>
                <w:iCs w:val="false"/>
                <w:color w:val="191512"/>
                <w:sz w:val="21"/>
                <w:szCs w:val="21"/>
              </w:rPr>
              <w:t xml:space="preserve">Si tu prends BNP, le carnet est a ecrire : </w:t>
            </w:r>
            <w:r>
              <w:rPr>
                <w:rFonts w:ascii="Calibri" w:cs="Calibri" w:eastAsia="Calibri" w:hAnsi="Calibri"/>
                <w:b/>
                <w:bCs/>
                <w:i w:val="false"/>
                <w:iCs w:val="false"/>
                <w:color w:val="191512"/>
                <w:sz w:val="21"/>
                <w:szCs w:val="21"/>
              </w:rPr>
              <w:t xml:space="preserve">environ 20 jours de travail, soit 6 000 euros</w:t>
            </w:r>
            <w:r>
              <w:rPr>
                <w:rFonts w:ascii="Calibri" w:cs="Calibri" w:eastAsia="Calibri" w:hAnsi="Calibri"/>
                <w:b w:val="false"/>
                <w:bCs w:val="false"/>
                <w:i w:val="false"/>
                <w:iCs w:val="false"/>
                <w:color w:val="191512"/>
                <w:sz w:val="21"/>
                <w:szCs w:val="21"/>
              </w:rPr>
              <w:t xml:space="preserve">. Ce n'est ni un detail ni une option : sans lui, personne n'est preleve le mois suivant.</w:t>
            </w:r>
          </w:p>
        </w:tc>
      </w:tr>
    </w:tbl>
    <w:p>
      <w:pPr>
        <w:spacing w:after="220"/>
      </w:pPr>
    </w:p>
    <w:p>
      <w:pPr>
        <w:pStyle w:val="Heading2"/>
        <w:spacing w:after="130" w:before="300"/>
      </w:pPr>
      <w:r>
        <w:rPr>
          <w:rFonts w:ascii="Arial" w:cs="Arial" w:eastAsia="Arial" w:hAnsi="Arial"/>
          <w:b/>
          <w:bCs/>
          <w:color w:val="191512"/>
          <w:sz w:val="25"/>
          <w:szCs w:val="25"/>
        </w:rPr>
        <w:t xml:space="preserve">2. Comment on te facture, dans les deux cas</w:t>
      </w:r>
    </w:p>
    <w:p>
      <w:pPr>
        <w:spacing w:after="140" w:line="276"/>
        <w:jc w:val="left"/>
      </w:pPr>
      <w:r>
        <w:rPr>
          <w:rFonts w:ascii="Calibri" w:cs="Calibri" w:eastAsia="Calibri" w:hAnsi="Calibri"/>
          <w:b w:val="false"/>
          <w:bCs w:val="false"/>
          <w:i w:val="false"/>
          <w:iCs w:val="false"/>
          <w:color w:val="191512"/>
          <w:sz w:val="21"/>
          <w:szCs w:val="21"/>
        </w:rPr>
        <w:t xml:space="preserve">Chaque paiement te coute deux choses additionnees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un </w:t>
      </w:r>
      <w:r>
        <w:rPr>
          <w:rFonts w:ascii="Calibri" w:cs="Calibri" w:eastAsia="Calibri" w:hAnsi="Calibri"/>
          <w:b/>
          <w:bCs/>
          <w:i w:val="false"/>
          <w:iCs w:val="false"/>
          <w:color w:val="191512"/>
          <w:sz w:val="21"/>
          <w:szCs w:val="21"/>
        </w:rPr>
        <w:t xml:space="preserve">pourcentage</w:t>
      </w:r>
      <w:r>
        <w:rPr>
          <w:rFonts w:ascii="Calibri" w:cs="Calibri" w:eastAsia="Calibri" w:hAnsi="Calibri"/>
          <w:b w:val="false"/>
          <w:bCs w:val="false"/>
          <w:i w:val="false"/>
          <w:iCs w:val="false"/>
          <w:color w:val="191512"/>
          <w:sz w:val="21"/>
          <w:szCs w:val="21"/>
        </w:rPr>
        <w:t xml:space="preserve"> du montant encaisse,</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une </w:t>
      </w:r>
      <w:r>
        <w:rPr>
          <w:rFonts w:ascii="Calibri" w:cs="Calibri" w:eastAsia="Calibri" w:hAnsi="Calibri"/>
          <w:b/>
          <w:bCs/>
          <w:i w:val="false"/>
          <w:iCs w:val="false"/>
          <w:color w:val="191512"/>
          <w:sz w:val="21"/>
          <w:szCs w:val="21"/>
        </w:rPr>
        <w:t xml:space="preserve">somme fixe</w:t>
      </w:r>
      <w:r>
        <w:rPr>
          <w:rFonts w:ascii="Calibri" w:cs="Calibri" w:eastAsia="Calibri" w:hAnsi="Calibri"/>
          <w:b w:val="false"/>
          <w:bCs w:val="false"/>
          <w:i w:val="false"/>
          <w:iCs w:val="false"/>
          <w:color w:val="191512"/>
          <w:sz w:val="21"/>
          <w:szCs w:val="21"/>
        </w:rPr>
        <w:t xml:space="preserve">, la meme que le paiement fasse 5 euros ou 500 euros.</w:t>
      </w:r>
    </w:p>
    <w:p>
      <w:pPr>
        <w:spacing w:after="140" w:line="276"/>
        <w:jc w:val="left"/>
      </w:pPr>
      <w:r>
        <w:rPr>
          <w:rFonts w:ascii="Calibri" w:cs="Calibri" w:eastAsia="Calibri" w:hAnsi="Calibri"/>
          <w:b w:val="false"/>
          <w:bCs w:val="false"/>
          <w:i w:val="false"/>
          <w:iCs w:val="false"/>
          <w:color w:val="191512"/>
          <w:sz w:val="21"/>
          <w:szCs w:val="21"/>
        </w:rPr>
        <w:t xml:space="preserve">Sur un abonnement a 29,90 euros, la somme fixe fait tres mal. Les 0,25 euro fixes de Stripe representent deja </w:t>
      </w:r>
      <w:r>
        <w:rPr>
          <w:rFonts w:ascii="Calibri" w:cs="Calibri" w:eastAsia="Calibri" w:hAnsi="Calibri"/>
          <w:b/>
          <w:bCs/>
          <w:i w:val="false"/>
          <w:iCs w:val="false"/>
          <w:color w:val="191512"/>
          <w:sz w:val="21"/>
          <w:szCs w:val="21"/>
        </w:rPr>
        <w:t xml:space="preserve">0,84 % du montant</w:t>
      </w:r>
      <w:r>
        <w:rPr>
          <w:rFonts w:ascii="Calibri" w:cs="Calibri" w:eastAsia="Calibri" w:hAnsi="Calibri"/>
          <w:b w:val="false"/>
          <w:bCs w:val="false"/>
          <w:i w:val="false"/>
          <w:iCs w:val="false"/>
          <w:color w:val="191512"/>
          <w:sz w:val="21"/>
          <w:szCs w:val="21"/>
        </w:rPr>
        <w:t xml:space="preserve">, avant meme d'avoir compte le pourcentage. Sur un panier a 300 euros, ces memes 0,25 euro ne pesseraient que 0,08 %.</w:t>
      </w:r>
    </w:p>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A retenir</w:t>
            </w:r>
          </w:p>
          <w:p>
            <w:pPr>
              <w:spacing w:after="0" w:line="276"/>
            </w:pPr>
            <w:r>
              <w:rPr>
                <w:rFonts w:ascii="Calibri" w:cs="Calibri" w:eastAsia="Calibri" w:hAnsi="Calibri"/>
                <w:b w:val="false"/>
                <w:bCs w:val="false"/>
                <w:i w:val="false"/>
                <w:iCs w:val="false"/>
                <w:color w:val="191512"/>
                <w:sz w:val="21"/>
                <w:szCs w:val="21"/>
              </w:rPr>
              <w:t xml:space="preserve">Plus ton abonnement est petit, plus la somme fixe pese. Et 29,90 euros, c'est petit.</w:t>
            </w:r>
          </w:p>
        </w:tc>
      </w:tr>
    </w:tbl>
    <w:p>
      <w:pPr>
        <w:spacing w:after="220"/>
      </w:pPr>
    </w:p>
    <w:p>
      <w:pPr>
        <w:pStyle w:val="Heading2"/>
        <w:spacing w:after="130" w:before="300"/>
      </w:pPr>
      <w:r>
        <w:rPr>
          <w:rFonts w:ascii="Arial" w:cs="Arial" w:eastAsia="Arial" w:hAnsi="Arial"/>
          <w:b/>
          <w:bCs/>
          <w:color w:val="191512"/>
          <w:sz w:val="25"/>
          <w:szCs w:val="25"/>
        </w:rPr>
        <w:t xml:space="preserve">3. Pourquoi la BNP annonce des taux si bas</w:t>
      </w:r>
    </w:p>
    <w:p>
      <w:pPr>
        <w:spacing w:after="140" w:line="276"/>
        <w:jc w:val="left"/>
      </w:pPr>
      <w:r>
        <w:rPr>
          <w:rFonts w:ascii="Calibri" w:cs="Calibri" w:eastAsia="Calibri" w:hAnsi="Calibri"/>
          <w:b w:val="false"/>
          <w:bCs w:val="false"/>
          <w:i w:val="false"/>
          <w:iCs w:val="false"/>
          <w:color w:val="191512"/>
          <w:sz w:val="21"/>
          <w:szCs w:val="21"/>
        </w:rPr>
        <w:t xml:space="preserve">La BNP affiche 0,27 % ou 0,37 %. Stripe affiche 1,5 %. L'ecart parait enorme. Il s'explique.</w:t>
      </w:r>
    </w:p>
    <w:p>
      <w:pPr>
        <w:spacing w:after="140" w:line="276"/>
        <w:jc w:val="left"/>
      </w:pPr>
      <w:r>
        <w:rPr>
          <w:rFonts w:ascii="Calibri" w:cs="Calibri" w:eastAsia="Calibri" w:hAnsi="Calibri"/>
          <w:b w:val="false"/>
          <w:bCs w:val="false"/>
          <w:i w:val="false"/>
          <w:iCs w:val="false"/>
          <w:color w:val="191512"/>
          <w:sz w:val="21"/>
          <w:szCs w:val="21"/>
        </w:rPr>
        <w:t xml:space="preserve">La BNP est une </w:t>
      </w:r>
      <w:r>
        <w:rPr>
          <w:rFonts w:ascii="Calibri" w:cs="Calibri" w:eastAsia="Calibri" w:hAnsi="Calibri"/>
          <w:b/>
          <w:bCs/>
          <w:i w:val="false"/>
          <w:iCs w:val="false"/>
          <w:color w:val="191512"/>
          <w:sz w:val="21"/>
          <w:szCs w:val="21"/>
        </w:rPr>
        <w:t xml:space="preserve">banque</w:t>
      </w:r>
      <w:r>
        <w:rPr>
          <w:rFonts w:ascii="Calibri" w:cs="Calibri" w:eastAsia="Calibri" w:hAnsi="Calibri"/>
          <w:b w:val="false"/>
          <w:bCs w:val="false"/>
          <w:i w:val="false"/>
          <w:iCs w:val="false"/>
          <w:color w:val="191512"/>
          <w:sz w:val="21"/>
          <w:szCs w:val="21"/>
        </w:rPr>
        <w:t xml:space="preserve"> : elle te vend le prix de gros, au plus pres du cout reel. Stripe est un </w:t>
      </w:r>
      <w:r>
        <w:rPr>
          <w:rFonts w:ascii="Calibri" w:cs="Calibri" w:eastAsia="Calibri" w:hAnsi="Calibri"/>
          <w:b/>
          <w:bCs/>
          <w:i w:val="false"/>
          <w:iCs w:val="false"/>
          <w:color w:val="191512"/>
          <w:sz w:val="21"/>
          <w:szCs w:val="21"/>
        </w:rPr>
        <w:t xml:space="preserve">revendeur</w:t>
      </w:r>
      <w:r>
        <w:rPr>
          <w:rFonts w:ascii="Calibri" w:cs="Calibri" w:eastAsia="Calibri" w:hAnsi="Calibri"/>
          <w:b w:val="false"/>
          <w:bCs w:val="false"/>
          <w:i w:val="false"/>
          <w:iCs w:val="false"/>
          <w:color w:val="191512"/>
          <w:sz w:val="21"/>
          <w:szCs w:val="21"/>
        </w:rPr>
        <w:t xml:space="preserve"> : il paie le meme prix de gros, y ajoute sa marge, et vend le tout emballe avec les outils.</w:t>
      </w:r>
    </w:p>
    <w:p>
      <w:pPr>
        <w:spacing w:after="140" w:line="276"/>
        <w:jc w:val="left"/>
      </w:pPr>
      <w:r>
        <w:rPr>
          <w:rFonts w:ascii="Calibri" w:cs="Calibri" w:eastAsia="Calibri" w:hAnsi="Calibri"/>
          <w:b w:val="false"/>
          <w:bCs w:val="false"/>
          <w:i w:val="false"/>
          <w:iCs w:val="false"/>
          <w:color w:val="191512"/>
          <w:sz w:val="21"/>
          <w:szCs w:val="21"/>
        </w:rPr>
        <w:t xml:space="preserve">Tu paies donc plus cher chez Stripe, et en echange tu ne developpes presque rien. C'est un arbitrage classique : </w:t>
      </w:r>
      <w:r>
        <w:rPr>
          <w:rFonts w:ascii="Calibri" w:cs="Calibri" w:eastAsia="Calibri" w:hAnsi="Calibri"/>
          <w:b/>
          <w:bCs/>
          <w:i w:val="false"/>
          <w:iCs w:val="false"/>
          <w:color w:val="191512"/>
          <w:sz w:val="21"/>
          <w:szCs w:val="21"/>
        </w:rPr>
        <w:t xml:space="preserve">acheter du temps contre de l'argent.</w:t>
      </w:r>
    </w:p>
    <w:p>
      <w:pPr>
        <w:pStyle w:val="Heading2"/>
        <w:spacing w:after="130" w:before="300"/>
      </w:pPr>
      <w:r>
        <w:rPr>
          <w:rFonts w:ascii="Arial" w:cs="Arial" w:eastAsia="Arial" w:hAnsi="Arial"/>
          <w:b/>
          <w:bCs/>
          <w:color w:val="191512"/>
          <w:sz w:val="25"/>
          <w:szCs w:val="25"/>
        </w:rPr>
        <w:t xml:space="preserve">4. Le piege des cartes d'entreprise</w:t>
      </w:r>
    </w:p>
    <w:p>
      <w:pPr>
        <w:spacing w:after="140" w:line="276"/>
        <w:jc w:val="left"/>
      </w:pPr>
      <w:r>
        <w:rPr>
          <w:rFonts w:ascii="Calibri" w:cs="Calibri" w:eastAsia="Calibri" w:hAnsi="Calibri"/>
          <w:b w:val="false"/>
          <w:bCs w:val="false"/>
          <w:i w:val="false"/>
          <w:iCs w:val="false"/>
          <w:color w:val="191512"/>
          <w:sz w:val="21"/>
          <w:szCs w:val="21"/>
        </w:rPr>
        <w:t xml:space="preserve">Il y a deux familles de cartes, et elles ne coutent pas le meme prix a encaisser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la carte d'un </w:t>
      </w:r>
      <w:r>
        <w:rPr>
          <w:rFonts w:ascii="Calibri" w:cs="Calibri" w:eastAsia="Calibri" w:hAnsi="Calibri"/>
          <w:b/>
          <w:bCs/>
          <w:i w:val="false"/>
          <w:iCs w:val="false"/>
          <w:color w:val="191512"/>
          <w:sz w:val="21"/>
          <w:szCs w:val="21"/>
        </w:rPr>
        <w:t xml:space="preserve">particulier</w:t>
      </w:r>
      <w:r>
        <w:rPr>
          <w:rFonts w:ascii="Calibri" w:cs="Calibri" w:eastAsia="Calibri" w:hAnsi="Calibri"/>
          <w:b w:val="false"/>
          <w:bCs w:val="false"/>
          <w:i w:val="false"/>
          <w:iCs w:val="false"/>
          <w:color w:val="191512"/>
          <w:sz w:val="21"/>
          <w:szCs w:val="21"/>
        </w:rPr>
        <w:t xml:space="preserve"> : la loi europeenne plafonne les frais, donc elle est bon marche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la carte d'une </w:t>
      </w:r>
      <w:r>
        <w:rPr>
          <w:rFonts w:ascii="Calibri" w:cs="Calibri" w:eastAsia="Calibri" w:hAnsi="Calibri"/>
          <w:b/>
          <w:bCs/>
          <w:i w:val="false"/>
          <w:iCs w:val="false"/>
          <w:color w:val="191512"/>
          <w:sz w:val="21"/>
          <w:szCs w:val="21"/>
        </w:rPr>
        <w:t xml:space="preserve">entreprise</w:t>
      </w:r>
      <w:r>
        <w:rPr>
          <w:rFonts w:ascii="Calibri" w:cs="Calibri" w:eastAsia="Calibri" w:hAnsi="Calibri"/>
          <w:b w:val="false"/>
          <w:bCs w:val="false"/>
          <w:i w:val="false"/>
          <w:iCs w:val="false"/>
          <w:color w:val="191512"/>
          <w:sz w:val="21"/>
          <w:szCs w:val="21"/>
        </w:rPr>
        <w:t xml:space="preserve"> (carte pro, carte affaires) : elle n'est </w:t>
      </w:r>
      <w:r>
        <w:rPr>
          <w:rFonts w:ascii="Calibri" w:cs="Calibri" w:eastAsia="Calibri" w:hAnsi="Calibri"/>
          <w:b w:val="false"/>
          <w:bCs w:val="false"/>
          <w:i/>
          <w:iCs/>
          <w:color w:val="191512"/>
          <w:sz w:val="21"/>
          <w:szCs w:val="21"/>
        </w:rPr>
        <w:t xml:space="preserve">pas</w:t>
      </w:r>
      <w:r>
        <w:rPr>
          <w:rFonts w:ascii="Calibri" w:cs="Calibri" w:eastAsia="Calibri" w:hAnsi="Calibri"/>
          <w:b w:val="false"/>
          <w:bCs w:val="false"/>
          <w:i w:val="false"/>
          <w:iCs w:val="false"/>
          <w:color w:val="191512"/>
          <w:sz w:val="21"/>
          <w:szCs w:val="21"/>
        </w:rPr>
        <w:t xml:space="preserve"> plafonnee, donc elle coute beaucoup plus cher.</w:t>
      </w:r>
    </w:p>
    <w:tbl>
      <w:tblPr>
        <w:tblW w:type="dxa" w:w="9026"/>
        <w:tblBorders>
          <w:top w:val="single" w:color="C9C4BA" w:sz="4"/>
          <w:left w:val="none" w:sz="0"/>
          <w:bottom w:val="single" w:color="C9C4BA" w:sz="4"/>
          <w:right w:val="none" w:sz="0"/>
          <w:insideH w:val="single" w:color="DDD8CE" w:sz="2"/>
          <w:insideV w:val="none" w:sz="0"/>
        </w:tblBorders>
      </w:tblPr>
      <w:tblGrid>
        <w:gridCol w:w="3069"/>
        <w:gridCol w:w="2979"/>
        <w:gridCol w:w="2978"/>
      </w:tblGrid>
      <w:tr>
        <w:trPr>
          <w:tblHeader/>
        </w:trPr>
        <w:tc>
          <w:tcPr>
            <w:tcW w:type="dxa" w:w="3069"/>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Qui paie</w:t>
            </w:r>
          </w:p>
        </w:tc>
        <w:tc>
          <w:tcPr>
            <w:tcW w:type="dxa" w:w="2979"/>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Chez BNP Axepta</w:t>
            </w:r>
          </w:p>
        </w:tc>
        <w:tc>
          <w:tcPr>
            <w:tcW w:type="dxa" w:w="2978"/>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Chez Stripe</w:t>
            </w:r>
          </w:p>
        </w:tc>
      </w:tr>
      <w:tr>
        <w:tc>
          <w:tcPr>
            <w:tcW w:type="dxa" w:w="3069"/>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Carte personnelle, debit</w:t>
            </w:r>
          </w:p>
        </w:tc>
        <w:tc>
          <w:tcPr>
            <w:tcW w:type="dxa" w:w="2979"/>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0,27 %</w:t>
            </w:r>
          </w:p>
        </w:tc>
        <w:tc>
          <w:tcPr>
            <w:tcW w:type="dxa" w:w="2978"/>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1,5 % + 0,25 EUR</w:t>
            </w:r>
          </w:p>
        </w:tc>
      </w:tr>
      <w:tr>
        <w:tc>
          <w:tcPr>
            <w:tcW w:type="dxa" w:w="3069"/>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Carte personnelle, credit</w:t>
            </w:r>
          </w:p>
        </w:tc>
        <w:tc>
          <w:tcPr>
            <w:tcW w:type="dxa" w:w="2979"/>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0,37 %</w:t>
            </w:r>
          </w:p>
        </w:tc>
        <w:tc>
          <w:tcPr>
            <w:tcW w:type="dxa" w:w="2978"/>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1,5 % + 0,25 EUR</w:t>
            </w:r>
          </w:p>
        </w:tc>
      </w:tr>
      <w:tr>
        <w:tc>
          <w:tcPr>
            <w:tcW w:type="dxa" w:w="3069"/>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Carte d'entreprise</w:t>
            </w:r>
          </w:p>
        </w:tc>
        <w:tc>
          <w:tcPr>
            <w:tcW w:type="dxa" w:w="2979"/>
            <w:tcMar>
              <w:top w:type="dxa" w:w="70"/>
              <w:left w:type="dxa" w:w="110"/>
              <w:bottom w:type="dxa" w:w="70"/>
              <w:right w:type="dxa" w:w="110"/>
            </w:tcMar>
          </w:tcPr>
          <w:p>
            <w:pPr>
              <w:spacing w:after="0" w:line="252"/>
              <w:jc w:val="right"/>
            </w:pPr>
            <w:r>
              <w:rPr>
                <w:rFonts w:ascii="Consolas" w:cs="Consolas" w:eastAsia="Consolas" w:hAnsi="Consolas"/>
                <w:b/>
                <w:bCs/>
                <w:color w:val="191512"/>
                <w:sz w:val="19"/>
                <w:szCs w:val="19"/>
              </w:rPr>
              <w:t xml:space="preserve">0,94 % a 1,97 %</w:t>
            </w:r>
          </w:p>
        </w:tc>
        <w:tc>
          <w:tcPr>
            <w:tcW w:type="dxa" w:w="2978"/>
            <w:tcMar>
              <w:top w:type="dxa" w:w="70"/>
              <w:left w:type="dxa" w:w="110"/>
              <w:bottom w:type="dxa" w:w="70"/>
              <w:right w:type="dxa" w:w="110"/>
            </w:tcMar>
          </w:tcPr>
          <w:p>
            <w:pPr>
              <w:spacing w:after="0" w:line="252"/>
              <w:jc w:val="right"/>
            </w:pPr>
            <w:r>
              <w:rPr>
                <w:rFonts w:ascii="Consolas" w:cs="Consolas" w:eastAsia="Consolas" w:hAnsi="Consolas"/>
                <w:b/>
                <w:bCs/>
                <w:color w:val="191512"/>
                <w:sz w:val="19"/>
                <w:szCs w:val="19"/>
              </w:rPr>
              <w:t xml:space="preserve">2,8 % + 0,25 EUR</w:t>
            </w:r>
          </w:p>
        </w:tc>
      </w:tr>
      <w:tr>
        <w:tc>
          <w:tcPr>
            <w:tcW w:type="dxa" w:w="3069"/>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Carte hors Europe</w:t>
            </w:r>
          </w:p>
        </w:tc>
        <w:tc>
          <w:tcPr>
            <w:tcW w:type="dxa" w:w="2979"/>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1,55 % + 0,12 EUR</w:t>
            </w:r>
          </w:p>
        </w:tc>
        <w:tc>
          <w:tcPr>
            <w:tcW w:type="dxa" w:w="2978"/>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3,15 % + 0,25 EUR</w:t>
            </w:r>
          </w:p>
        </w:tc>
      </w:tr>
    </w:tbl>
    <w:p>
      <w:pPr>
        <w:spacing w:after="160" w:line="240"/>
      </w:pPr>
      <w:r>
        <w:rPr>
          <w:rFonts w:ascii="Calibri" w:cs="Calibri" w:eastAsia="Calibri" w:hAnsi="Calibri"/>
          <w:i/>
          <w:iCs/>
          <w:color w:val="5E5A56"/>
          <w:sz w:val="16"/>
          <w:szCs w:val="16"/>
        </w:rPr>
        <w:t xml:space="preserve">BNP : proposition commerciale Axepta, tableau « Tarification des encaissements par Internet ». Stripe : stripe.com/fr/pricing, releve le 20/09/2026.</w:t>
      </w:r>
    </w:p>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Le parametre le plus sensible de toute l'etude</w:t>
            </w:r>
          </w:p>
          <w:p>
            <w:pPr>
              <w:spacing w:after="90" w:line="276"/>
            </w:pPr>
            <w:r>
              <w:rPr>
                <w:rFonts w:ascii="Calibri" w:cs="Calibri" w:eastAsia="Calibri" w:hAnsi="Calibri"/>
                <w:b w:val="false"/>
                <w:bCs w:val="false"/>
                <w:i w:val="false"/>
                <w:iCs w:val="false"/>
                <w:color w:val="191512"/>
                <w:sz w:val="21"/>
                <w:szCs w:val="21"/>
              </w:rPr>
              <w:t xml:space="preserve">Tes clients sont des artisans, donc des entreprises.</w:t>
            </w:r>
            <w:r>
              <w:rPr>
                <w:rFonts w:ascii="Calibri" w:cs="Calibri" w:eastAsia="Calibri" w:hAnsi="Calibri"/>
                <w:b w:val="false"/>
                <w:bCs w:val="false"/>
                <w:i w:val="false"/>
                <w:iCs w:val="false"/>
                <w:color w:val="191512"/>
                <w:sz w:val="21"/>
                <w:szCs w:val="21"/>
              </w:rPr>
              <w:t xml:space="preserve"> Une partie d'entre eux paiera avec une carte professionnelle, et cela change le cout du simple au double.</w:t>
            </w:r>
          </w:p>
          <w:p>
            <w:pPr>
              <w:spacing w:after="0" w:line="276"/>
            </w:pPr>
            <w:r>
              <w:rPr>
                <w:rFonts w:ascii="Calibri" w:cs="Calibri" w:eastAsia="Calibri" w:hAnsi="Calibri"/>
                <w:b w:val="false"/>
                <w:bCs w:val="false"/>
                <w:i w:val="false"/>
                <w:iCs w:val="false"/>
                <w:color w:val="191512"/>
                <w:sz w:val="21"/>
                <w:szCs w:val="21"/>
              </w:rPr>
              <w:t xml:space="preserve">Personne ne peut deviner cette proportion a l'avance : elle se mesure en production, au bout d'une centaine de paiements. C'est la premiere chose a relever apres la mise en service.</w:t>
            </w:r>
          </w:p>
        </w:tc>
      </w:tr>
    </w:tbl>
    <w:p>
      <w:pPr>
        <w:spacing w:after="220"/>
      </w:pPr>
    </w:p>
    <w:p>
      <w:pPr>
        <w:pStyle w:val="Heading2"/>
        <w:spacing w:after="130" w:before="300"/>
      </w:pPr>
      <w:r>
        <w:rPr>
          <w:rFonts w:ascii="Arial" w:cs="Arial" w:eastAsia="Arial" w:hAnsi="Arial"/>
          <w:b/>
          <w:bCs/>
          <w:color w:val="191512"/>
          <w:sz w:val="25"/>
          <w:szCs w:val="25"/>
        </w:rPr>
        <w:t xml:space="preserve">5. Le prelevement, l'option que personne ne regarde</w:t>
      </w:r>
    </w:p>
    <w:p>
      <w:pPr>
        <w:spacing w:after="140" w:line="276"/>
        <w:jc w:val="left"/>
      </w:pPr>
      <w:r>
        <w:rPr>
          <w:rFonts w:ascii="Calibri" w:cs="Calibri" w:eastAsia="Calibri" w:hAnsi="Calibri"/>
          <w:b w:val="false"/>
          <w:bCs w:val="false"/>
          <w:i w:val="false"/>
          <w:iCs w:val="false"/>
          <w:color w:val="191512"/>
          <w:sz w:val="21"/>
          <w:szCs w:val="21"/>
        </w:rPr>
        <w:t xml:space="preserve">Au lieu de taper sa carte tous les mois, le client signe une autorisation une seule fois. Ensuite l'argent part tout seul de son compte. C'est le prelevement SEPA, exactement comme pour une facture d'electricite.</w:t>
      </w:r>
    </w:p>
    <w:p>
      <w:pPr>
        <w:pStyle w:val="Heading3"/>
        <w:spacing w:after="100" w:before="220"/>
      </w:pPr>
      <w:r>
        <w:rPr>
          <w:rFonts w:ascii="Arial" w:cs="Arial" w:eastAsia="Arial" w:hAnsi="Arial"/>
          <w:b/>
          <w:bCs/>
          <w:color w:val="890026"/>
          <w:sz w:val="22"/>
          <w:szCs w:val="22"/>
        </w:rPr>
        <w:t xml:space="preserve">Premier avantage : c'est trois fois moins cher</w:t>
      </w:r>
    </w:p>
    <w:p>
      <w:pPr>
        <w:spacing w:after="140" w:line="276"/>
        <w:jc w:val="left"/>
      </w:pPr>
      <w:r>
        <w:rPr>
          <w:rFonts w:ascii="Calibri" w:cs="Calibri" w:eastAsia="Calibri" w:hAnsi="Calibri"/>
          <w:b w:val="false"/>
          <w:bCs w:val="false"/>
          <w:i w:val="false"/>
          <w:iCs w:val="false"/>
          <w:color w:val="191512"/>
          <w:sz w:val="21"/>
          <w:szCs w:val="21"/>
        </w:rPr>
        <w:t xml:space="preserve">Chez Stripe, un prelevement coute </w:t>
      </w:r>
      <w:r>
        <w:rPr>
          <w:rFonts w:ascii="Calibri" w:cs="Calibri" w:eastAsia="Calibri" w:hAnsi="Calibri"/>
          <w:b/>
          <w:bCs/>
          <w:i w:val="false"/>
          <w:iCs w:val="false"/>
          <w:color w:val="191512"/>
          <w:sz w:val="21"/>
          <w:szCs w:val="21"/>
        </w:rPr>
        <w:t xml:space="preserve">0,35 euro fixe, sans aucun pourcentage</w:t>
      </w:r>
      <w:r>
        <w:rPr>
          <w:rFonts w:ascii="Calibri" w:cs="Calibri" w:eastAsia="Calibri" w:hAnsi="Calibri"/>
          <w:b w:val="false"/>
          <w:bCs w:val="false"/>
          <w:i w:val="false"/>
          <w:iCs w:val="false"/>
          <w:color w:val="191512"/>
          <w:sz w:val="21"/>
          <w:szCs w:val="21"/>
        </w:rPr>
        <w:t xml:space="preserve">. Sur 29,90 euros, cela fait 1,17 %. Une carte, au meme endroit, coute entre 3 et 3,6 %.</w:t>
      </w:r>
    </w:p>
    <w:p>
      <w:pPr>
        <w:pStyle w:val="Heading3"/>
        <w:spacing w:after="100" w:before="220"/>
      </w:pPr>
      <w:r>
        <w:rPr>
          <w:rFonts w:ascii="Arial" w:cs="Arial" w:eastAsia="Arial" w:hAnsi="Arial"/>
          <w:b/>
          <w:bCs/>
          <w:color w:val="890026"/>
          <w:sz w:val="22"/>
          <w:szCs w:val="22"/>
        </w:rPr>
        <w:t xml:space="preserve">Second avantage, et il compte encore plus</w:t>
      </w:r>
    </w:p>
    <w:p>
      <w:pPr>
        <w:spacing w:after="140" w:line="276"/>
        <w:jc w:val="left"/>
      </w:pPr>
      <w:r>
        <w:rPr>
          <w:rFonts w:ascii="Calibri" w:cs="Calibri" w:eastAsia="Calibri" w:hAnsi="Calibri"/>
          <w:b w:val="false"/>
          <w:bCs w:val="false"/>
          <w:i w:val="false"/>
          <w:iCs w:val="false"/>
          <w:color w:val="191512"/>
          <w:sz w:val="21"/>
          <w:szCs w:val="21"/>
        </w:rPr>
        <w:t xml:space="preserve">Une carte expire au bout de trois ans, se fait voler, se fait remplacer. Chaque fois, le paiement casse, et il faut courir apres le client pour qu'il ressaisisse ses coordonnees. Beaucoup ne le font jamais, et l'abonnement meurt sans que personne ne l'ait decide.</w:t>
      </w:r>
    </w:p>
    <w:p>
      <w:pPr>
        <w:spacing w:after="140" w:line="276"/>
        <w:jc w:val="left"/>
      </w:pPr>
      <w:r>
        <w:rPr>
          <w:rFonts w:ascii="Calibri" w:cs="Calibri" w:eastAsia="Calibri" w:hAnsi="Calibri"/>
          <w:b w:val="false"/>
          <w:bCs w:val="false"/>
          <w:i w:val="false"/>
          <w:iCs w:val="false"/>
          <w:color w:val="191512"/>
          <w:sz w:val="21"/>
          <w:szCs w:val="21"/>
        </w:rPr>
        <w:t xml:space="preserve">Une autorisation de prelevement, elle, </w:t>
      </w:r>
      <w:r>
        <w:rPr>
          <w:rFonts w:ascii="Calibri" w:cs="Calibri" w:eastAsia="Calibri" w:hAnsi="Calibri"/>
          <w:b/>
          <w:bCs/>
          <w:i w:val="false"/>
          <w:iCs w:val="false"/>
          <w:color w:val="191512"/>
          <w:sz w:val="21"/>
          <w:szCs w:val="21"/>
        </w:rPr>
        <w:t xml:space="preserve">n'expire pas</w:t>
      </w:r>
      <w:r>
        <w:rPr>
          <w:rFonts w:ascii="Calibri" w:cs="Calibri" w:eastAsia="Calibri" w:hAnsi="Calibri"/>
          <w:b w:val="false"/>
          <w:bCs w:val="false"/>
          <w:i w:val="false"/>
          <w:iCs w:val="false"/>
          <w:color w:val="191512"/>
          <w:sz w:val="21"/>
          <w:szCs w:val="21"/>
        </w:rPr>
        <w:t xml:space="preserve">.</w:t>
      </w:r>
    </w:p>
    <w:p>
      <w:pPr>
        <w:pStyle w:val="Heading3"/>
        <w:spacing w:after="100" w:before="220"/>
      </w:pPr>
      <w:r>
        <w:rPr>
          <w:rFonts w:ascii="Arial" w:cs="Arial" w:eastAsia="Arial" w:hAnsi="Arial"/>
          <w:b/>
          <w:bCs/>
          <w:color w:val="890026"/>
          <w:sz w:val="22"/>
          <w:szCs w:val="22"/>
        </w:rPr>
        <w:t xml:space="preserve">Le seul inconvenient, a connaitre</w:t>
      </w:r>
    </w:p>
    <w:p>
      <w:pPr>
        <w:spacing w:after="140" w:line="276"/>
        <w:jc w:val="left"/>
      </w:pPr>
      <w:r>
        <w:rPr>
          <w:rFonts w:ascii="Calibri" w:cs="Calibri" w:eastAsia="Calibri" w:hAnsi="Calibri"/>
          <w:b w:val="false"/>
          <w:bCs w:val="false"/>
          <w:i w:val="false"/>
          <w:iCs w:val="false"/>
          <w:color w:val="191512"/>
          <w:sz w:val="21"/>
          <w:szCs w:val="21"/>
        </w:rPr>
        <w:t xml:space="preserve">Un prelevement n'est pas instantane, et le client peut le refuser jusqu'a huit semaines apres. Il faut en tenir compte dans l'acces au service : on n'ouvre pas un droit definitif sur un paiement qui peut encore revenir.</w:t>
      </w:r>
    </w:p>
    <w:p>
      <w:pPr>
        <w:pStyle w:val="Heading2"/>
        <w:spacing w:after="130" w:before="300"/>
      </w:pPr>
      <w:r>
        <w:rPr>
          <w:rFonts w:ascii="Arial" w:cs="Arial" w:eastAsia="Arial" w:hAnsi="Arial"/>
          <w:b/>
          <w:bCs/>
          <w:color w:val="191512"/>
          <w:sz w:val="25"/>
          <w:szCs w:val="25"/>
        </w:rPr>
        <w:t xml:space="preserve">6. Ce que cela donne, en euros</w:t>
      </w:r>
    </w:p>
    <w:p>
      <w:pPr>
        <w:spacing w:after="140" w:line="276"/>
        <w:jc w:val="left"/>
      </w:pPr>
      <w:r>
        <w:rPr>
          <w:rFonts w:ascii="Calibri" w:cs="Calibri" w:eastAsia="Calibri" w:hAnsi="Calibri"/>
          <w:b w:val="false"/>
          <w:bCs w:val="false"/>
          <w:i w:val="false"/>
          <w:iCs w:val="false"/>
          <w:color w:val="191512"/>
          <w:sz w:val="21"/>
          <w:szCs w:val="21"/>
        </w:rPr>
        <w:t xml:space="preserve">Pour un abonnement de 29,90 euros HT encaisse une fois par mois :</w:t>
      </w:r>
    </w:p>
    <w:tbl>
      <w:tblPr>
        <w:tblW w:type="dxa" w:w="9026"/>
        <w:tblBorders>
          <w:top w:val="single" w:color="C9C4BA" w:sz="4"/>
          <w:left w:val="none" w:sz="0"/>
          <w:bottom w:val="single" w:color="C9C4BA" w:sz="4"/>
          <w:right w:val="none" w:sz="0"/>
          <w:insideH w:val="single" w:color="DDD8CE" w:sz="2"/>
          <w:insideV w:val="none" w:sz="0"/>
        </w:tblBorders>
      </w:tblPr>
      <w:tblGrid>
        <w:gridCol w:w="4152"/>
        <w:gridCol w:w="2437"/>
        <w:gridCol w:w="2437"/>
      </w:tblGrid>
      <w:tr>
        <w:trPr>
          <w:tblHeader/>
        </w:trPr>
        <w:tc>
          <w:tcPr>
            <w:tcW w:type="dxa" w:w="4152"/>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Comment on encaisse</w:t>
            </w:r>
          </w:p>
        </w:tc>
        <w:tc>
          <w:tcPr>
            <w:tcW w:type="dxa" w:w="2437"/>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Cout d'un paiement</w:t>
            </w:r>
          </w:p>
        </w:tc>
        <w:tc>
          <w:tcPr>
            <w:tcW w:type="dxa" w:w="2437"/>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Part du prix</w:t>
            </w:r>
          </w:p>
        </w:tc>
      </w:tr>
      <w:tr>
        <w:tc>
          <w:tcPr>
            <w:tcW w:type="dxa" w:w="4152"/>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Prelevement SEPA chez Stripe, sans le carnet</w:t>
            </w:r>
          </w:p>
        </w:tc>
        <w:tc>
          <w:tcPr>
            <w:tcW w:type="dxa" w:w="2437"/>
            <w:tcMar>
              <w:top w:type="dxa" w:w="70"/>
              <w:left w:type="dxa" w:w="110"/>
              <w:bottom w:type="dxa" w:w="70"/>
              <w:right w:type="dxa" w:w="110"/>
            </w:tcMar>
          </w:tcPr>
          <w:p>
            <w:pPr>
              <w:spacing w:after="0" w:line="252"/>
              <w:jc w:val="right"/>
            </w:pPr>
            <w:r>
              <w:rPr>
                <w:rFonts w:ascii="Consolas" w:cs="Consolas" w:eastAsia="Consolas" w:hAnsi="Consolas"/>
                <w:b/>
                <w:bCs/>
                <w:color w:val="191512"/>
                <w:sz w:val="19"/>
                <w:szCs w:val="19"/>
              </w:rPr>
              <w:t xml:space="preserve">0,35 EUR</w:t>
            </w:r>
          </w:p>
        </w:tc>
        <w:tc>
          <w:tcPr>
            <w:tcW w:type="dxa" w:w="2437"/>
            <w:tcMar>
              <w:top w:type="dxa" w:w="70"/>
              <w:left w:type="dxa" w:w="110"/>
              <w:bottom w:type="dxa" w:w="70"/>
              <w:right w:type="dxa" w:w="110"/>
            </w:tcMar>
          </w:tcPr>
          <w:p>
            <w:pPr>
              <w:spacing w:after="0" w:line="252"/>
              <w:jc w:val="right"/>
            </w:pPr>
            <w:r>
              <w:rPr>
                <w:rFonts w:ascii="Consolas" w:cs="Consolas" w:eastAsia="Consolas" w:hAnsi="Consolas"/>
                <w:b/>
                <w:bCs/>
                <w:color w:val="191512"/>
                <w:sz w:val="19"/>
                <w:szCs w:val="19"/>
              </w:rPr>
              <w:t xml:space="preserve">1,17 %</w:t>
            </w:r>
          </w:p>
        </w:tc>
      </w:tr>
      <w:tr>
        <w:tc>
          <w:tcPr>
            <w:tcW w:type="dxa" w:w="4152"/>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Carte chez BNP, clients payant en carte perso</w:t>
            </w:r>
          </w:p>
        </w:tc>
        <w:tc>
          <w:tcPr>
            <w:tcW w:type="dxa" w:w="2437"/>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0,31 EUR</w:t>
            </w:r>
          </w:p>
        </w:tc>
        <w:tc>
          <w:tcPr>
            <w:tcW w:type="dxa" w:w="2437"/>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1,03 %</w:t>
            </w:r>
          </w:p>
        </w:tc>
      </w:tr>
      <w:tr>
        <w:tc>
          <w:tcPr>
            <w:tcW w:type="dxa" w:w="4152"/>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Carte chez BNP, melange realiste avec cartes pro</w:t>
            </w:r>
          </w:p>
        </w:tc>
        <w:tc>
          <w:tcPr>
            <w:tcW w:type="dxa" w:w="2437"/>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0,42 EUR</w:t>
            </w:r>
          </w:p>
        </w:tc>
        <w:tc>
          <w:tcPr>
            <w:tcW w:type="dxa" w:w="2437"/>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1,42 %</w:t>
            </w:r>
          </w:p>
        </w:tc>
      </w:tr>
      <w:tr>
        <w:tc>
          <w:tcPr>
            <w:tcW w:type="dxa" w:w="4152"/>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Prelevement SEPA chez Stripe, avec le carnet</w:t>
            </w:r>
          </w:p>
        </w:tc>
        <w:tc>
          <w:tcPr>
            <w:tcW w:type="dxa" w:w="2437"/>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0,56 EUR</w:t>
            </w:r>
          </w:p>
        </w:tc>
        <w:tc>
          <w:tcPr>
            <w:tcW w:type="dxa" w:w="2437"/>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1,87 %</w:t>
            </w:r>
          </w:p>
        </w:tc>
      </w:tr>
      <w:tr>
        <w:tc>
          <w:tcPr>
            <w:tcW w:type="dxa" w:w="4152"/>
            <w:tcMar>
              <w:top w:type="dxa" w:w="70"/>
              <w:left w:type="dxa" w:w="110"/>
              <w:bottom w:type="dxa" w:w="70"/>
              <w:right w:type="dxa" w:w="110"/>
            </w:tcMar>
          </w:tcPr>
          <w:p>
            <w:pPr>
              <w:spacing w:after="0" w:line="252"/>
              <w:jc w:val="left"/>
            </w:pPr>
            <w:r>
              <w:rPr>
                <w:rFonts w:ascii="Calibri" w:cs="Calibri" w:eastAsia="Calibri" w:hAnsi="Calibri"/>
                <w:b w:val="false"/>
                <w:bCs w:val="false"/>
                <w:color w:val="9A3208"/>
                <w:sz w:val="19"/>
                <w:szCs w:val="19"/>
              </w:rPr>
              <w:t xml:space="preserve">Carte chez Stripe, avec le carnet</w:t>
            </w:r>
          </w:p>
        </w:tc>
        <w:tc>
          <w:tcPr>
            <w:tcW w:type="dxa" w:w="2437"/>
            <w:tcMar>
              <w:top w:type="dxa" w:w="70"/>
              <w:left w:type="dxa" w:w="110"/>
              <w:bottom w:type="dxa" w:w="70"/>
              <w:right w:type="dxa" w:w="110"/>
            </w:tcMar>
          </w:tcPr>
          <w:p>
            <w:pPr>
              <w:spacing w:after="0" w:line="252"/>
              <w:jc w:val="right"/>
            </w:pPr>
            <w:r>
              <w:rPr>
                <w:rFonts w:ascii="Consolas" w:cs="Consolas" w:eastAsia="Consolas" w:hAnsi="Consolas"/>
                <w:b w:val="false"/>
                <w:bCs w:val="false"/>
                <w:color w:val="9A3208"/>
                <w:sz w:val="19"/>
                <w:szCs w:val="19"/>
              </w:rPr>
              <w:t xml:space="preserve">0,91 a 1,06 EUR</w:t>
            </w:r>
          </w:p>
        </w:tc>
        <w:tc>
          <w:tcPr>
            <w:tcW w:type="dxa" w:w="2437"/>
            <w:tcMar>
              <w:top w:type="dxa" w:w="70"/>
              <w:left w:type="dxa" w:w="110"/>
              <w:bottom w:type="dxa" w:w="70"/>
              <w:right w:type="dxa" w:w="110"/>
            </w:tcMar>
          </w:tcPr>
          <w:p>
            <w:pPr>
              <w:spacing w:after="0" w:line="252"/>
              <w:jc w:val="right"/>
            </w:pPr>
            <w:r>
              <w:rPr>
                <w:rFonts w:ascii="Consolas" w:cs="Consolas" w:eastAsia="Consolas" w:hAnsi="Consolas"/>
                <w:b w:val="false"/>
                <w:bCs w:val="false"/>
                <w:color w:val="9A3208"/>
                <w:sz w:val="19"/>
                <w:szCs w:val="19"/>
              </w:rPr>
              <w:t xml:space="preserve">3,0 a 3,6 %</w:t>
            </w:r>
          </w:p>
        </w:tc>
      </w:tr>
    </w:tbl>
    <w:p>
      <w:pPr>
        <w:pStyle w:val="Heading3"/>
        <w:spacing w:after="100" w:before="220"/>
      </w:pPr>
      <w:r>
        <w:rPr>
          <w:rFonts w:ascii="Arial" w:cs="Arial" w:eastAsia="Arial" w:hAnsi="Arial"/>
          <w:b/>
          <w:bCs/>
          <w:color w:val="890026"/>
          <w:sz w:val="22"/>
          <w:szCs w:val="22"/>
        </w:rPr>
        <w:t xml:space="preserve">Et sur cinq ans</w:t>
      </w:r>
    </w:p>
    <w:p>
      <w:pPr>
        <w:spacing w:after="140" w:line="276"/>
        <w:jc w:val="left"/>
      </w:pPr>
      <w:r>
        <w:rPr>
          <w:rFonts w:ascii="Calibri" w:cs="Calibri" w:eastAsia="Calibri" w:hAnsi="Calibri"/>
          <w:b w:val="false"/>
          <w:bCs w:val="false"/>
          <w:i w:val="false"/>
          <w:iCs w:val="false"/>
          <w:color w:val="191512"/>
          <w:sz w:val="21"/>
          <w:szCs w:val="21"/>
        </w:rPr>
        <w:t xml:space="preserve">Avec une croissance jusqu'a 4 000 abonnes en annee 5, developpement du carnet compris quand il faut l'ecrire :</w:t>
      </w:r>
    </w:p>
    <w:tbl>
      <w:tblPr>
        <w:tblW w:type="dxa" w:w="9026"/>
        <w:tblBorders>
          <w:top w:val="single" w:color="C9C4BA" w:sz="4"/>
          <w:left w:val="none" w:sz="0"/>
          <w:bottom w:val="single" w:color="C9C4BA" w:sz="4"/>
          <w:right w:val="none" w:sz="0"/>
          <w:insideH w:val="single" w:color="DDD8CE" w:sz="2"/>
          <w:insideV w:val="none" w:sz="0"/>
        </w:tblBorders>
      </w:tblPr>
      <w:tblGrid>
        <w:gridCol w:w="5596"/>
        <w:gridCol w:w="3430"/>
      </w:tblGrid>
      <w:tr>
        <w:trPr>
          <w:tblHeader/>
        </w:trPr>
        <w:tc>
          <w:tcPr>
            <w:tcW w:type="dxa" w:w="5596"/>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Solution</w:t>
            </w:r>
          </w:p>
        </w:tc>
        <w:tc>
          <w:tcPr>
            <w:tcW w:type="dxa" w:w="3430"/>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Cout total sur 5 ans</w:t>
            </w:r>
          </w:p>
        </w:tc>
      </w:tr>
      <w:tr>
        <w:tc>
          <w:tcPr>
            <w:tcW w:type="dxa" w:w="5596"/>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Stripe en prelevement, carnet ecrit par nous</w:t>
            </w:r>
          </w:p>
        </w:tc>
        <w:tc>
          <w:tcPr>
            <w:tcW w:type="dxa" w:w="3430"/>
            <w:tcMar>
              <w:top w:type="dxa" w:w="70"/>
              <w:left w:type="dxa" w:w="110"/>
              <w:bottom w:type="dxa" w:w="70"/>
              <w:right w:type="dxa" w:w="110"/>
            </w:tcMar>
          </w:tcPr>
          <w:p>
            <w:pPr>
              <w:spacing w:after="0" w:line="252"/>
              <w:jc w:val="right"/>
            </w:pPr>
            <w:r>
              <w:rPr>
                <w:rFonts w:ascii="Consolas" w:cs="Consolas" w:eastAsia="Consolas" w:hAnsi="Consolas"/>
                <w:b/>
                <w:bCs/>
                <w:color w:val="191512"/>
                <w:sz w:val="19"/>
                <w:szCs w:val="19"/>
              </w:rPr>
              <w:t xml:space="preserve">41 070 EUR</w:t>
            </w:r>
          </w:p>
        </w:tc>
      </w:tr>
      <w:tr>
        <w:tc>
          <w:tcPr>
            <w:tcW w:type="dxa" w:w="5596"/>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BNP Axepta, carnet ecrit par nous</w:t>
            </w:r>
          </w:p>
        </w:tc>
        <w:tc>
          <w:tcPr>
            <w:tcW w:type="dxa" w:w="3430"/>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48 252 EUR</w:t>
            </w:r>
          </w:p>
        </w:tc>
      </w:tr>
      <w:tr>
        <w:tc>
          <w:tcPr>
            <w:tcW w:type="dxa" w:w="5596"/>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Stripe en prelevement, avec Billing</w:t>
            </w:r>
          </w:p>
        </w:tc>
        <w:tc>
          <w:tcPr>
            <w:tcW w:type="dxa" w:w="3430"/>
            <w:tcMar>
              <w:top w:type="dxa" w:w="70"/>
              <w:left w:type="dxa" w:w="110"/>
              <w:bottom w:type="dxa" w:w="70"/>
              <w:right w:type="dxa" w:w="110"/>
            </w:tcMar>
          </w:tcPr>
          <w:p>
            <w:pPr>
              <w:spacing w:after="0" w:line="252"/>
              <w:jc w:val="right"/>
            </w:pPr>
            <w:r>
              <w:rPr>
                <w:rFonts w:ascii="Consolas" w:cs="Consolas" w:eastAsia="Consolas" w:hAnsi="Consolas"/>
                <w:b w:val="false"/>
                <w:bCs w:val="false"/>
                <w:color w:val="191512"/>
                <w:sz w:val="19"/>
                <w:szCs w:val="19"/>
              </w:rPr>
              <w:t xml:space="preserve">56 042 EUR</w:t>
            </w:r>
          </w:p>
        </w:tc>
      </w:tr>
      <w:tr>
        <w:tc>
          <w:tcPr>
            <w:tcW w:type="dxa" w:w="5596"/>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9A3208"/>
                <w:sz w:val="19"/>
                <w:szCs w:val="19"/>
              </w:rPr>
              <w:t xml:space="preserve">Stripe en carte, avec Billing</w:t>
            </w:r>
          </w:p>
        </w:tc>
        <w:tc>
          <w:tcPr>
            <w:tcW w:type="dxa" w:w="3430"/>
            <w:shd w:fill="FBF9F5" w:val="clear"/>
            <w:tcMar>
              <w:top w:type="dxa" w:w="70"/>
              <w:left w:type="dxa" w:w="110"/>
              <w:bottom w:type="dxa" w:w="70"/>
              <w:right w:type="dxa" w:w="110"/>
            </w:tcMar>
          </w:tcPr>
          <w:p>
            <w:pPr>
              <w:spacing w:after="0" w:line="252"/>
              <w:jc w:val="right"/>
            </w:pPr>
            <w:r>
              <w:rPr>
                <w:rFonts w:ascii="Consolas" w:cs="Consolas" w:eastAsia="Consolas" w:hAnsi="Consolas"/>
                <w:b w:val="false"/>
                <w:bCs w:val="false"/>
                <w:color w:val="9A3208"/>
                <w:sz w:val="19"/>
                <w:szCs w:val="19"/>
              </w:rPr>
              <w:t xml:space="preserve">106 541 EUR</w:t>
            </w:r>
          </w:p>
        </w:tc>
      </w:tr>
    </w:tbl>
    <w:p>
      <w:pPr>
        <w:spacing w:after="160" w:line="240"/>
      </w:pPr>
      <w:r>
        <w:rPr>
          <w:rFonts w:ascii="Calibri" w:cs="Calibri" w:eastAsia="Calibri" w:hAnsi="Calibri"/>
          <w:i/>
          <w:iCs/>
          <w:color w:val="5E5A56"/>
          <w:sz w:val="16"/>
          <w:szCs w:val="16"/>
        </w:rPr>
        <w:t xml:space="preserve">Hypothese de croissance : 150, 500, 1 200, 2 500 puis 4 000 abonnes moyens. Un paiement par abonne et par mois. Carnet estime a 20 jours a 300 euros.</w:t>
      </w:r>
    </w:p>
    <w:p>
      <w:pPr>
        <w:pStyle w:val="Heading2"/>
        <w:spacing w:after="130" w:before="300"/>
      </w:pPr>
      <w:r>
        <w:rPr>
          <w:rFonts w:ascii="Arial" w:cs="Arial" w:eastAsia="Arial" w:hAnsi="Arial"/>
          <w:b/>
          <w:bCs/>
          <w:color w:val="191512"/>
          <w:sz w:val="25"/>
          <w:szCs w:val="25"/>
        </w:rPr>
        <w:t xml:space="preserve">7. Ce qu'il faut retenir</w:t>
      </w:r>
    </w:p>
    <w:p>
      <w:pPr>
        <w:spacing w:after="140" w:line="276"/>
        <w:jc w:val="left"/>
      </w:pPr>
      <w:r>
        <w:rPr>
          <w:rFonts w:ascii="Calibri" w:cs="Calibri" w:eastAsia="Calibri" w:hAnsi="Calibri"/>
          <w:b/>
          <w:bCs/>
          <w:i w:val="false"/>
          <w:iCs w:val="false"/>
          <w:color w:val="191512"/>
          <w:sz w:val="21"/>
          <w:szCs w:val="21"/>
        </w:rPr>
        <w:t xml:space="preserve">La vraie question n'est pas « BNP ou Stripe ». Ce sont ces deux-la :</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Carte ou prelevement ?</w:t>
      </w:r>
      <w:r>
        <w:rPr>
          <w:rFonts w:ascii="Calibri" w:cs="Calibri" w:eastAsia="Calibri" w:hAnsi="Calibri"/>
          <w:b w:val="false"/>
          <w:bCs w:val="false"/>
          <w:i w:val="false"/>
          <w:iCs w:val="false"/>
          <w:color w:val="191512"/>
          <w:sz w:val="21"/>
          <w:szCs w:val="21"/>
        </w:rPr>
        <w:t xml:space="preserve"> C'est ce choix qui fait le plus gros ecart, de l'ordre de 1 a 3. Il pese deux fois et demie plus lourd que le choix du prestataire.</w:t>
      </w:r>
    </w:p>
    <w:p>
      <w:pPr>
        <w:pStyle w:val="ListParagraph"/>
        <w:numPr>
          <w:ilvl w:val="0"/>
          <w:numId w:val="2"/>
        </w:numPr>
        <w:spacing w:after="80" w:line="264"/>
      </w:pPr>
      <w:r>
        <w:rPr>
          <w:rFonts w:ascii="Calibri" w:cs="Calibri" w:eastAsia="Calibri" w:hAnsi="Calibri"/>
          <w:b/>
          <w:bCs/>
          <w:i w:val="false"/>
          <w:iCs w:val="false"/>
          <w:color w:val="191512"/>
          <w:sz w:val="21"/>
          <w:szCs w:val="21"/>
        </w:rPr>
        <w:t xml:space="preserve">Acheter le carnet, ou l'ecrire ?</w:t>
      </w:r>
      <w:r>
        <w:rPr>
          <w:rFonts w:ascii="Calibri" w:cs="Calibri" w:eastAsia="Calibri" w:hAnsi="Calibri"/>
          <w:b w:val="false"/>
          <w:bCs w:val="false"/>
          <w:i w:val="false"/>
          <w:iCs w:val="false"/>
          <w:color w:val="191512"/>
          <w:sz w:val="21"/>
          <w:szCs w:val="21"/>
        </w:rPr>
        <w:t xml:space="preserve"> L'acheter coute 0,7 % du chiffre d'affaires a vie. L'ecrire coute 6 000 euros une fois, puis de l'entretien.</w:t>
      </w:r>
    </w:p>
    <w:p>
      <w:pPr>
        <w:spacing w:after="140" w:line="276"/>
        <w:jc w:val="left"/>
      </w:pPr>
      <w:r>
        <w:rPr>
          <w:rFonts w:ascii="Calibri" w:cs="Calibri" w:eastAsia="Calibri" w:hAnsi="Calibri"/>
          <w:b w:val="false"/>
          <w:bCs w:val="false"/>
          <w:i w:val="false"/>
          <w:iCs w:val="false"/>
          <w:color w:val="191512"/>
          <w:sz w:val="21"/>
          <w:szCs w:val="21"/>
        </w:rPr>
        <w:t xml:space="preserve">Une fois ces deux questions tranchees, le prestataire vient presque tout seul.</w:t>
      </w:r>
    </w:p>
    <w:tbl>
      <w:tblPr>
        <w:tblW w:type="dxa" w:w="9026"/>
        <w:tblBorders>
          <w:top w:val="single" w:color="890026" w:sz="4"/>
          <w:left w:val="single" w:color="890026" w:sz="24"/>
          <w:bottom w:val="single" w:color="890026" w:sz="4"/>
          <w:right w:val="single" w:color="890026"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890026"/>
                <w:sz w:val="21"/>
                <w:szCs w:val="21"/>
              </w:rPr>
              <w:t xml:space="preserve">Le point contre-intuitif</w:t>
            </w:r>
          </w:p>
          <w:p>
            <w:pPr>
              <w:spacing w:after="90" w:line="276"/>
            </w:pPr>
            <w:r>
              <w:rPr>
                <w:rFonts w:ascii="Calibri" w:cs="Calibri" w:eastAsia="Calibri" w:hAnsi="Calibri"/>
                <w:b w:val="false"/>
                <w:bCs w:val="false"/>
                <w:i w:val="false"/>
                <w:iCs w:val="false"/>
                <w:color w:val="191512"/>
                <w:sz w:val="21"/>
                <w:szCs w:val="21"/>
              </w:rPr>
              <w:t xml:space="preserve">Comme le carnet est a ecrire aussi bien chez BNP que si l'on veut eviter Billing chez Stripe, l'effort de developpement s'annule entre les deux.</w:t>
            </w:r>
          </w:p>
          <w:p>
            <w:pPr>
              <w:spacing w:after="0" w:line="276"/>
            </w:pPr>
            <w:r>
              <w:rPr>
                <w:rFonts w:ascii="Calibri" w:cs="Calibri" w:eastAsia="Calibri" w:hAnsi="Calibri"/>
                <w:b/>
                <w:bCs/>
                <w:i w:val="false"/>
                <w:iCs w:val="false"/>
                <w:color w:val="191512"/>
                <w:sz w:val="21"/>
                <w:szCs w:val="21"/>
              </w:rPr>
              <w:t xml:space="preserve">Dans ce cas, Stripe en prelevement reste moins cher que BNP</w:t>
            </w:r>
            <w:r>
              <w:rPr>
                <w:rFonts w:ascii="Calibri" w:cs="Calibri" w:eastAsia="Calibri" w:hAnsi="Calibri"/>
                <w:b w:val="false"/>
                <w:bCs w:val="false"/>
                <w:i w:val="false"/>
                <w:iCs w:val="false"/>
                <w:color w:val="191512"/>
                <w:sz w:val="21"/>
                <w:szCs w:val="21"/>
              </w:rPr>
              <w:t xml:space="preserve"> : 41 070 euros contre 48 252 sur cinq ans, sans les 18 euros par mois d'abonnement, et avec une bien meilleure documentation.</w:t>
            </w:r>
          </w:p>
        </w:tc>
      </w:tr>
    </w:tbl>
    <w:p>
      <w:pPr>
        <w:spacing w:after="220"/>
      </w:pPr>
    </w:p>
    <w:p>
      <w:pPr>
        <w:pStyle w:val="Heading3"/>
        <w:spacing w:after="100" w:before="220"/>
      </w:pPr>
      <w:r>
        <w:rPr>
          <w:rFonts w:ascii="Arial" w:cs="Arial" w:eastAsia="Arial" w:hAnsi="Arial"/>
          <w:b/>
          <w:bCs/>
          <w:color w:val="890026"/>
          <w:sz w:val="22"/>
          <w:szCs w:val="22"/>
        </w:rPr>
        <w:t xml:space="preserve">Ma recommandation, en trois temps</w:t>
      </w:r>
    </w:p>
    <w:tbl>
      <w:tblPr>
        <w:tblW w:type="dxa" w:w="9026"/>
        <w:tblBorders>
          <w:top w:val="single" w:color="C9C4BA" w:sz="4"/>
          <w:left w:val="none" w:sz="0"/>
          <w:bottom w:val="single" w:color="C9C4BA" w:sz="4"/>
          <w:right w:val="none" w:sz="0"/>
          <w:insideH w:val="single" w:color="DDD8CE" w:sz="2"/>
          <w:insideV w:val="none" w:sz="0"/>
        </w:tblBorders>
      </w:tblPr>
      <w:tblGrid>
        <w:gridCol w:w="1805"/>
        <w:gridCol w:w="2437"/>
        <w:gridCol w:w="4784"/>
      </w:tblGrid>
      <w:tr>
        <w:trPr>
          <w:tblHeader/>
        </w:trPr>
        <w:tc>
          <w:tcPr>
            <w:tcW w:type="dxa" w:w="1805"/>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Quand</w:t>
            </w:r>
          </w:p>
        </w:tc>
        <w:tc>
          <w:tcPr>
            <w:tcW w:type="dxa" w:w="2437"/>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Quoi</w:t>
            </w:r>
          </w:p>
        </w:tc>
        <w:tc>
          <w:tcPr>
            <w:tcW w:type="dxa" w:w="4784"/>
            <w:shd w:fill="EAE6DC" w:val="clear"/>
            <w:tcMar>
              <w:top w:type="dxa" w:w="70"/>
              <w:left w:type="dxa" w:w="110"/>
              <w:bottom w:type="dxa" w:w="70"/>
              <w:right w:type="dxa" w:w="110"/>
            </w:tcMar>
          </w:tcPr>
          <w:p>
            <w:pPr>
              <w:spacing w:after="0" w:line="252"/>
              <w:jc w:val="left"/>
            </w:pPr>
            <w:r>
              <w:rPr>
                <w:rFonts w:ascii="Calibri" w:cs="Calibri" w:eastAsia="Calibri" w:hAnsi="Calibri"/>
                <w:b/>
                <w:bCs/>
                <w:color w:val="191512"/>
                <w:sz w:val="18"/>
                <w:szCs w:val="18"/>
              </w:rPr>
              <w:t xml:space="preserve">Pourquoi</w:t>
            </w:r>
          </w:p>
        </w:tc>
      </w:tr>
      <w:tr>
        <w:tc>
          <w:tcPr>
            <w:tcW w:type="dxa" w:w="1805"/>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0 a 300 abonnes</w:t>
            </w:r>
          </w:p>
        </w:tc>
        <w:tc>
          <w:tcPr>
            <w:tcW w:type="dxa" w:w="243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Stripe, carte + Billing</w:t>
            </w:r>
          </w:p>
        </w:tc>
        <w:tc>
          <w:tcPr>
            <w:tcW w:type="dxa" w:w="478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En ligne en 2 a 3 jours, zero developpement de facturation. A 100 abonnes le surcout est de 70 euros par mois : c'est le prix d'arriver au marche trois semaines plus tot.</w:t>
            </w:r>
          </w:p>
        </w:tc>
      </w:tr>
      <w:tr>
        <w:tc>
          <w:tcPr>
            <w:tcW w:type="dxa" w:w="1805"/>
            <w:shd w:fill="FBF9F5" w:val="clear"/>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300 a 1 500</w:t>
            </w:r>
          </w:p>
        </w:tc>
        <w:tc>
          <w:tcPr>
            <w:tcW w:type="dxa" w:w="2437"/>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Basculer sur le prelevement SEPA</w:t>
            </w:r>
          </w:p>
        </w:tc>
        <w:tc>
          <w:tcPr>
            <w:tcW w:type="dxa" w:w="4784"/>
            <w:shd w:fill="FBF9F5" w:val="clear"/>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Le cout tombe de 3,56 % a 1,87 % sans toucher a l'architecture, et les abonnements cessent de mourir tout seuls quand une carte expire.</w:t>
            </w:r>
          </w:p>
        </w:tc>
      </w:tr>
      <w:tr>
        <w:tc>
          <w:tcPr>
            <w:tcW w:type="dxa" w:w="1805"/>
            <w:tcMar>
              <w:top w:type="dxa" w:w="70"/>
              <w:left w:type="dxa" w:w="110"/>
              <w:bottom w:type="dxa" w:w="70"/>
              <w:right w:type="dxa" w:w="110"/>
            </w:tcMar>
          </w:tcPr>
          <w:p>
            <w:pPr>
              <w:spacing w:after="0" w:line="252"/>
              <w:jc w:val="left"/>
            </w:pPr>
            <w:r>
              <w:rPr>
                <w:rFonts w:ascii="Calibri" w:cs="Calibri" w:eastAsia="Calibri" w:hAnsi="Calibri"/>
                <w:b/>
                <w:bCs/>
                <w:color w:val="191512"/>
                <w:sz w:val="19"/>
                <w:szCs w:val="19"/>
              </w:rPr>
              <w:t xml:space="preserve">Au-dela de 1 500</w:t>
            </w:r>
          </w:p>
        </w:tc>
        <w:tc>
          <w:tcPr>
            <w:tcW w:type="dxa" w:w="2437"/>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Ecrire son carnet, quitter Billing</w:t>
            </w:r>
          </w:p>
        </w:tc>
        <w:tc>
          <w:tcPr>
            <w:tcW w:type="dxa" w:w="4784"/>
            <w:tcMar>
              <w:top w:type="dxa" w:w="70"/>
              <w:left w:type="dxa" w:w="110"/>
              <w:bottom w:type="dxa" w:w="70"/>
              <w:right w:type="dxa" w:w="110"/>
            </w:tcMar>
          </w:tcPr>
          <w:p>
            <w:pPr>
              <w:spacing w:after="0" w:line="252"/>
              <w:jc w:val="left"/>
            </w:pPr>
            <w:r>
              <w:rPr>
                <w:rFonts w:ascii="Calibri" w:cs="Calibri" w:eastAsia="Calibri" w:hAnsi="Calibri"/>
                <w:b w:val="false"/>
                <w:bCs w:val="false"/>
                <w:color w:val="191512"/>
                <w:sz w:val="19"/>
                <w:szCs w:val="19"/>
              </w:rPr>
              <w:t xml:space="preserve">On descend a 1,17 %. C'est aussi le moment ou renegocier avec la BNP a du sens, avec un volume reel en main.</w:t>
            </w:r>
          </w:p>
        </w:tc>
      </w:tr>
    </w:tbl>
    <w:p>
      <w:pPr>
        <w:pStyle w:val="Heading2"/>
        <w:spacing w:after="130" w:before="300"/>
      </w:pPr>
      <w:r>
        <w:rPr>
          <w:rFonts w:ascii="Arial" w:cs="Arial" w:eastAsia="Arial" w:hAnsi="Arial"/>
          <w:b/>
          <w:bCs/>
          <w:color w:val="191512"/>
          <w:sz w:val="25"/>
          <w:szCs w:val="25"/>
        </w:rPr>
        <w:t xml:space="preserve">8. Les questions a poser a la BNP avant toute decision</w:t>
      </w:r>
    </w:p>
    <w:tbl>
      <w:tblPr>
        <w:tblW w:type="dxa" w:w="9026"/>
        <w:tblBorders>
          <w:top w:val="single" w:color="9A3208" w:sz="4"/>
          <w:left w:val="single" w:color="9A3208" w:sz="24"/>
          <w:bottom w:val="single" w:color="9A3208" w:sz="4"/>
          <w:right w:val="single" w:color="9A3208" w:sz="4"/>
          <w:insideH w:val="none" w:sz="0"/>
          <w:insideV w:val="none" w:sz="0"/>
        </w:tblBorders>
        <w:tblCellMar>
          <w:top w:type="dxa" w:w="130"/>
          <w:left w:type="dxa" w:w="170"/>
          <w:bottom w:type="dxa" w:w="130"/>
          <w:right w:type="dxa" w:w="150"/>
        </w:tblCellMar>
      </w:tblPr>
      <w:tblGrid>
        <w:gridCol w:w="9026"/>
      </w:tblGrid>
      <w:tr>
        <w:tc>
          <w:tcPr>
            <w:tcW w:type="dxa" w:w="9026"/>
            <w:shd w:fill="F2EEE6" w:val="clear"/>
          </w:tcPr>
          <w:p>
            <w:pPr>
              <w:spacing w:after="100" w:line="264"/>
            </w:pPr>
            <w:r>
              <w:rPr>
                <w:rFonts w:ascii="Arial" w:cs="Arial" w:eastAsia="Arial" w:hAnsi="Arial"/>
                <w:b/>
                <w:bCs/>
                <w:color w:val="9A3208"/>
                <w:sz w:val="21"/>
                <w:szCs w:val="21"/>
              </w:rPr>
              <w:t xml:space="preserve">Question numero 1, a poser par ecrit</w:t>
            </w:r>
          </w:p>
          <w:p>
            <w:pPr>
              <w:spacing w:after="90" w:line="276"/>
            </w:pPr>
            <w:r>
              <w:rPr>
                <w:rFonts w:ascii="Calibri" w:cs="Calibri" w:eastAsia="Calibri" w:hAnsi="Calibri"/>
                <w:b w:val="false"/>
                <w:bCs w:val="false"/>
                <w:i w:val="false"/>
                <w:iCs w:val="false"/>
                <w:color w:val="191512"/>
                <w:sz w:val="21"/>
                <w:szCs w:val="21"/>
              </w:rPr>
              <w:t xml:space="preserve">La BNP annonce 0,27 % pour une carte de debit. Or le plafond europeen des frais de base pour ce type de carte est de 0,20 %. Leur prix est donc a 0,07 point au-dessus du prix de gros : </w:t>
            </w:r>
            <w:r>
              <w:rPr>
                <w:rFonts w:ascii="Calibri" w:cs="Calibri" w:eastAsia="Calibri" w:hAnsi="Calibri"/>
                <w:b/>
                <w:bCs/>
                <w:i w:val="false"/>
                <w:iCs w:val="false"/>
                <w:color w:val="191512"/>
                <w:sz w:val="21"/>
                <w:szCs w:val="21"/>
              </w:rPr>
              <w:t xml:space="preserve">soit c'est une tres bonne offre, soit l'affichage est incomplet.</w:t>
            </w:r>
          </w:p>
          <w:p>
            <w:pPr>
              <w:spacing w:after="90" w:line="276"/>
            </w:pPr>
            <w:r>
              <w:rPr>
                <w:rFonts w:ascii="Calibri" w:cs="Calibri" w:eastAsia="Calibri" w:hAnsi="Calibri"/>
                <w:b w:val="false"/>
                <w:bCs w:val="false"/>
                <w:i/>
                <w:iCs/>
                <w:color w:val="191512"/>
                <w:sz w:val="21"/>
                <w:szCs w:val="21"/>
              </w:rPr>
              <w:t xml:space="preserve">« Les taux indiques sont-ils tout compris, interchange et commissions reseau inclus, ou s'agit-il de votre seule commission d'acquisition, a laquelle s'ajoutent ces couts ? »</w:t>
            </w:r>
          </w:p>
          <w:p>
            <w:pPr>
              <w:spacing w:after="0" w:line="276"/>
            </w:pPr>
            <w:r>
              <w:rPr>
                <w:rFonts w:ascii="Calibri" w:cs="Calibri" w:eastAsia="Calibri" w:hAnsi="Calibri"/>
                <w:b/>
                <w:bCs/>
                <w:i w:val="false"/>
                <w:iCs w:val="false"/>
                <w:color w:val="191512"/>
                <w:sz w:val="21"/>
                <w:szCs w:val="21"/>
              </w:rPr>
              <w:t xml:space="preserve">Si la reponse est la seconde, toute la comparaison bascule</w:t>
            </w:r>
            <w:r>
              <w:rPr>
                <w:rFonts w:ascii="Calibri" w:cs="Calibri" w:eastAsia="Calibri" w:hAnsi="Calibri"/>
                <w:b w:val="false"/>
                <w:bCs w:val="false"/>
                <w:i w:val="false"/>
                <w:iCs w:val="false"/>
                <w:color w:val="191512"/>
                <w:sz w:val="21"/>
                <w:szCs w:val="21"/>
              </w:rPr>
              <w:t xml:space="preserve"> et la BNP devient nettement plus chere que ce que la proposition laisse croire.</w:t>
            </w:r>
          </w:p>
        </w:tc>
      </w:tr>
    </w:tbl>
    <w:p>
      <w:pPr>
        <w:spacing w:after="220"/>
      </w:pPr>
    </w:p>
    <w:p>
      <w:pPr>
        <w:spacing w:after="140" w:line="276"/>
        <w:jc w:val="left"/>
      </w:pPr>
      <w:r>
        <w:rPr>
          <w:rFonts w:ascii="Calibri" w:cs="Calibri" w:eastAsia="Calibri" w:hAnsi="Calibri"/>
          <w:b w:val="false"/>
          <w:bCs w:val="false"/>
          <w:i w:val="false"/>
          <w:iCs w:val="false"/>
          <w:color w:val="191512"/>
          <w:sz w:val="21"/>
          <w:szCs w:val="21"/>
        </w:rPr>
        <w:t xml:space="preserve">Trois autres choses manquent dans leur proposition, et il faut les demander :</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w:t>
      </w:r>
      <w:r>
        <w:rPr>
          <w:rFonts w:ascii="Calibri" w:cs="Calibri" w:eastAsia="Calibri" w:hAnsi="Calibri"/>
          <w:b/>
          <w:bCs/>
          <w:i w:val="false"/>
          <w:iCs w:val="false"/>
          <w:color w:val="191512"/>
          <w:sz w:val="21"/>
          <w:szCs w:val="21"/>
        </w:rPr>
        <w:t xml:space="preserve">paiement recurrent</w:t>
      </w:r>
      <w:r>
        <w:rPr>
          <w:rFonts w:ascii="Calibri" w:cs="Calibri" w:eastAsia="Calibri" w:hAnsi="Calibri"/>
          <w:b w:val="false"/>
          <w:bCs w:val="false"/>
          <w:i w:val="false"/>
          <w:iCs w:val="false"/>
          <w:color w:val="191512"/>
          <w:sz w:val="21"/>
          <w:szCs w:val="21"/>
        </w:rPr>
        <w:t xml:space="preserve"> est-il possible ? C'est-a-dire encaisser tous les mois sans que le client ressaisisse sa carte. La proposition n'en dit rien, et sans cela il n'y a pas d'abonnement du tout.</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Proposent-ils le </w:t>
      </w:r>
      <w:r>
        <w:rPr>
          <w:rFonts w:ascii="Calibri" w:cs="Calibri" w:eastAsia="Calibri" w:hAnsi="Calibri"/>
          <w:b/>
          <w:bCs/>
          <w:i w:val="false"/>
          <w:iCs w:val="false"/>
          <w:color w:val="191512"/>
          <w:sz w:val="21"/>
          <w:szCs w:val="21"/>
        </w:rPr>
        <w:t xml:space="preserve">prelevement SEPA</w:t>
      </w:r>
      <w:r>
        <w:rPr>
          <w:rFonts w:ascii="Calibri" w:cs="Calibri" w:eastAsia="Calibri" w:hAnsi="Calibri"/>
          <w:b w:val="false"/>
          <w:bCs w:val="false"/>
          <w:i w:val="false"/>
          <w:iCs w:val="false"/>
          <w:color w:val="191512"/>
          <w:sz w:val="21"/>
          <w:szCs w:val="21"/>
        </w:rPr>
        <w:t xml:space="preserve">, et a quel prix ? C'est le poste qui decide, et il est absent de la proposition.</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Combien coute un </w:t>
      </w:r>
      <w:r>
        <w:rPr>
          <w:rFonts w:ascii="Calibri" w:cs="Calibri" w:eastAsia="Calibri" w:hAnsi="Calibri"/>
          <w:b/>
          <w:bCs/>
          <w:i w:val="false"/>
          <w:iCs w:val="false"/>
          <w:color w:val="191512"/>
          <w:sz w:val="21"/>
          <w:szCs w:val="21"/>
        </w:rPr>
        <w:t xml:space="preserve">impaye ou une contestation</w:t>
      </w:r>
      <w:r>
        <w:rPr>
          <w:rFonts w:ascii="Calibri" w:cs="Calibri" w:eastAsia="Calibri" w:hAnsi="Calibri"/>
          <w:b w:val="false"/>
          <w:bCs w:val="false"/>
          <w:i w:val="false"/>
          <w:iCs w:val="false"/>
          <w:color w:val="191512"/>
          <w:sz w:val="21"/>
          <w:szCs w:val="21"/>
        </w:rPr>
        <w:t xml:space="preserve"> ? Non chiffre chez eux. Chez Stripe, c'est 20 euros.</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Le forfait de 100 operations incluses est </w:t>
      </w:r>
      <w:r>
        <w:rPr>
          <w:rFonts w:ascii="Calibri" w:cs="Calibri" w:eastAsia="Calibri" w:hAnsi="Calibri"/>
          <w:b/>
          <w:bCs/>
          <w:i w:val="false"/>
          <w:iCs w:val="false"/>
          <w:color w:val="191512"/>
          <w:sz w:val="21"/>
          <w:szCs w:val="21"/>
        </w:rPr>
        <w:t xml:space="preserve">sature des 100 abonnes</w:t>
      </w:r>
      <w:r>
        <w:rPr>
          <w:rFonts w:ascii="Calibri" w:cs="Calibri" w:eastAsia="Calibri" w:hAnsi="Calibri"/>
          <w:b w:val="false"/>
          <w:bCs w:val="false"/>
          <w:i w:val="false"/>
          <w:iCs w:val="false"/>
          <w:color w:val="191512"/>
          <w:sz w:val="21"/>
          <w:szCs w:val="21"/>
        </w:rPr>
        <w:t xml:space="preserve">. Existe-t-il un palier superieur moins cher que 0,22 euro par operation ?</w:t>
      </w:r>
    </w:p>
    <w:p>
      <w:pPr>
        <w:pStyle w:val="Heading3"/>
        <w:spacing w:after="100" w:before="220"/>
      </w:pPr>
      <w:r>
        <w:rPr>
          <w:rFonts w:ascii="Arial" w:cs="Arial" w:eastAsia="Arial" w:hAnsi="Arial"/>
          <w:b/>
          <w:bCs/>
          <w:color w:val="890026"/>
          <w:sz w:val="22"/>
          <w:szCs w:val="22"/>
        </w:rPr>
        <w:t xml:space="preserve">Et ce qu'il faut verifier chez Stripe</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La part reelle de cartes « premium », facturees 2,8 % au lieu de 1,5 %. Mesurable seulement en production.</w:t>
      </w:r>
    </w:p>
    <w:p>
      <w:pPr>
        <w:pStyle w:val="ListParagraph"/>
        <w:numPr>
          <w:ilvl w:val="0"/>
          <w:numId w:val="3"/>
        </w:numPr>
        <w:spacing w:after="70" w:line="264"/>
      </w:pPr>
      <w:r>
        <w:rPr>
          <w:rFonts w:ascii="Calibri" w:cs="Calibri" w:eastAsia="Calibri" w:hAnsi="Calibri"/>
          <w:b w:val="false"/>
          <w:bCs w:val="false"/>
          <w:i w:val="false"/>
          <w:iCs w:val="false"/>
          <w:color w:val="191512"/>
          <w:sz w:val="21"/>
          <w:szCs w:val="21"/>
        </w:rPr>
        <w:t xml:space="preserve">Billing facture 0,7 % du volume, y compris sur les paiements par prelevement. C'est un abonnement deguise, a reevaluer chaque annee.</w:t>
      </w:r>
    </w:p>
    <w:p>
      <w:pPr>
        <w:pStyle w:val="Heading3"/>
        <w:spacing w:after="100" w:before="220"/>
      </w:pPr>
      <w:r>
        <w:rPr>
          <w:rFonts w:ascii="Arial" w:cs="Arial" w:eastAsia="Arial" w:hAnsi="Arial"/>
          <w:b/>
          <w:bCs/>
          <w:color w:val="890026"/>
          <w:sz w:val="22"/>
          <w:szCs w:val="22"/>
        </w:rPr>
        <w:t xml:space="preserve">Un risque commun aux deux</w:t>
      </w:r>
    </w:p>
    <w:p>
      <w:pPr>
        <w:spacing w:after="140" w:line="276"/>
        <w:jc w:val="left"/>
      </w:pPr>
      <w:r>
        <w:rPr>
          <w:rFonts w:ascii="Calibri" w:cs="Calibri" w:eastAsia="Calibri" w:hAnsi="Calibri"/>
          <w:b w:val="false"/>
          <w:bCs w:val="false"/>
          <w:i w:val="false"/>
          <w:iCs w:val="false"/>
          <w:color w:val="191512"/>
          <w:sz w:val="21"/>
          <w:szCs w:val="21"/>
        </w:rPr>
        <w:t xml:space="preserve">Pour pouvoir changer de prestataire un jour, il faut rester sur les standards : jeton de carte, webhook signe, et une table d'abonnements qui nous appartient. Et ne jamais stocker un numero de carte. A noter : </w:t>
      </w:r>
      <w:r>
        <w:rPr>
          <w:rFonts w:ascii="Calibri" w:cs="Calibri" w:eastAsia="Calibri" w:hAnsi="Calibri"/>
          <w:b/>
          <w:bCs/>
          <w:i w:val="false"/>
          <w:iCs w:val="false"/>
          <w:color w:val="191512"/>
          <w:sz w:val="21"/>
          <w:szCs w:val="21"/>
        </w:rPr>
        <w:t xml:space="preserve">les autorisations de prelevement SEPA sont portables d'un prestataire a l'autre, les jetons de carte beaucoup moins</w:t>
      </w:r>
      <w:r>
        <w:rPr>
          <w:rFonts w:ascii="Calibri" w:cs="Calibri" w:eastAsia="Calibri" w:hAnsi="Calibri"/>
          <w:b w:val="false"/>
          <w:bCs w:val="false"/>
          <w:i w:val="false"/>
          <w:iCs w:val="false"/>
          <w:color w:val="191512"/>
          <w:sz w:val="21"/>
          <w:szCs w:val="21"/>
        </w:rPr>
        <w:t xml:space="preserve">. C'est un argument de plus pour le prelevement.</w:t>
      </w:r>
    </w:p>
    <w:sectPr>
      <w:headerReference w:type="default" r:id="rId7"/>
      <w:footerReference w:type="default" r:id="rId8"/>
      <w:pgSz w:w="11906" w:h="16838" w:orient="portrait"/>
      <w:pgMar w:top="1296" w:right="1224" w:bottom="1296" w:left="122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E5A56"/>
        <w:sz w:val="16"/>
        <w:szCs w:val="16"/>
      </w:rPr>
      <w:t xml:space="preserve">Page </w:t>
      <w:fldChar w:fldCharType="begin"/>
      <w:instrText xml:space="preserve">PAGE</w:instrText>
      <w:fldChar w:fldCharType="separate"/>
      <w:fldChar w:fldCharType="end"/>
      <w:t xml:space="preserve"> sur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8D4CC" w:sz="4" w:space="4"/>
      </w:pBdr>
      <w:spacing w:after="160"/>
      <w:jc w:val="right"/>
    </w:pPr>
    <w:r>
      <w:rPr>
        <w:rFonts w:ascii="Calibri" w:cs="Calibri" w:eastAsia="Calibri" w:hAnsi="Calibri"/>
        <w:color w:val="5E5A56"/>
        <w:sz w:val="16"/>
        <w:szCs w:val="16"/>
      </w:rPr>
      <w:t xml:space="preserve">a dispo  |  dossier du 20 septembre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lvl w:ilvl="1" w15:tentative="1">
      <w:start w:val="1"/>
      <w:numFmt w:val="bullet"/>
      <w:lvlText w:val="◦"/>
      <w:lvlJc w:val="left"/>
      <w:pPr>
        <w:ind w:left="820" w:hanging="220"/>
      </w:pPr>
    </w:lvl>
  </w:abstractNum>
  <w:abstractNum w:abstractNumId="3" w15:restartNumberingAfterBreak="0">
    <w:multiLevelType w:val="hybridMultilevel"/>
    <w:lvl w:ilvl="0" w15:tentative="1">
      <w:start w:val="1"/>
      <w:numFmt w:val="decimal"/>
      <w:lvlText w:val="%1."/>
      <w:lvlJc w:val="left"/>
      <w:pPr>
        <w:ind w:left="420" w:hanging="2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91512"/>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dispo : deposer la marque, et choisir par qui encaisser</dc:title>
  <dc:creator>Joan Aglave</dc:creator>
  <dc:description>Dossier d'etude du 20 septembre 2026</dc:description>
  <cp:lastModifiedBy>Un-named</cp:lastModifiedBy>
  <cp:revision>1</cp:revision>
  <dcterms:created xsi:type="dcterms:W3CDTF">2026-09-20T12:38:34.062Z</dcterms:created>
  <dcterms:modified xsi:type="dcterms:W3CDTF">2026-09-20T12:38:34.063Z</dcterms:modified>
</cp:coreProperties>
</file>

<file path=docProps/custom.xml><?xml version="1.0" encoding="utf-8"?>
<Properties xmlns="http://schemas.openxmlformats.org/officeDocument/2006/custom-properties" xmlns:vt="http://schemas.openxmlformats.org/officeDocument/2006/docPropsVTypes"/>
</file>