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the Home page.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the Dashboard page.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Create the Log page.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Construct an unstyled Navbar </w:t>
      </w:r>
      <w:r>
        <w:rPr/>
        <w:t>that is visible across all pages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LibreOffice/24.2.2.2$Windows_X86_64 LibreOffice_project/d56cc158d8a96260b836f100ef4b4ef25d6f1a01</Application>
  <AppVersion>15.0000</AppVersion>
  <Pages>5</Pages>
  <Words>749</Words>
  <Characters>3790</Characters>
  <CharactersWithSpaces>4361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2024-08-13T12:41:47Z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