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09749" w14:textId="50922190" w:rsidR="005E603F" w:rsidRDefault="00BC13F4">
      <w:pPr>
        <w:spacing w:before="240" w:after="240"/>
        <w:jc w:val="center"/>
      </w:pPr>
      <w:r>
        <w:rPr>
          <w:b/>
          <w:sz w:val="32"/>
        </w:rPr>
        <w:t>M</w:t>
      </w:r>
      <w:r w:rsidR="00000000">
        <w:rPr>
          <w:b/>
          <w:sz w:val="32"/>
        </w:rPr>
        <w:t>ulti-objective optimization of hot-dip galvanizing operating conditions under uncertainty: a simulation-based sustainability framework with coating quality constraints</w:t>
      </w:r>
    </w:p>
    <w:p w14:paraId="5B088BBB" w14:textId="77777777" w:rsidR="005E603F" w:rsidRPr="00BC13F4" w:rsidRDefault="00000000">
      <w:pPr>
        <w:jc w:val="center"/>
        <w:rPr>
          <w:lang w:val="es-419"/>
        </w:rPr>
      </w:pPr>
      <w:r w:rsidRPr="00BC13F4">
        <w:rPr>
          <w:lang w:val="es-419"/>
        </w:rPr>
        <w:t>Jose D. Hernandez-Betancur</w:t>
      </w:r>
      <w:r w:rsidRPr="00BC13F4">
        <w:rPr>
          <w:vertAlign w:val="superscript"/>
          <w:lang w:val="es-419"/>
        </w:rPr>
        <w:t>a,b</w:t>
      </w:r>
    </w:p>
    <w:p w14:paraId="71E57852" w14:textId="77777777" w:rsidR="005E603F" w:rsidRPr="00BC13F4" w:rsidRDefault="00000000">
      <w:pPr>
        <w:jc w:val="center"/>
        <w:rPr>
          <w:lang w:val="es-419"/>
        </w:rPr>
      </w:pPr>
      <w:r w:rsidRPr="00BC13F4">
        <w:rPr>
          <w:sz w:val="20"/>
          <w:vertAlign w:val="superscript"/>
          <w:lang w:val="es-419"/>
        </w:rPr>
        <w:t>a</w:t>
      </w:r>
      <w:r w:rsidRPr="00BC13F4">
        <w:rPr>
          <w:sz w:val="20"/>
          <w:lang w:val="es-419"/>
        </w:rPr>
        <w:t xml:space="preserve"> Faculty of Mines, Universidad Nacional de Colombia, Medellín 050041, Colombia</w:t>
      </w:r>
    </w:p>
    <w:p w14:paraId="0B45D781" w14:textId="77777777" w:rsidR="005E603F" w:rsidRDefault="00000000">
      <w:pPr>
        <w:jc w:val="center"/>
      </w:pPr>
      <w:r>
        <w:rPr>
          <w:sz w:val="20"/>
          <w:vertAlign w:val="superscript"/>
        </w:rPr>
        <w:t>b</w:t>
      </w:r>
      <w:r>
        <w:rPr>
          <w:sz w:val="20"/>
        </w:rPr>
        <w:t xml:space="preserve"> Department of Chemical Engineering, Universidad de Salamanca, Salamanca 37008, Spain</w:t>
      </w:r>
    </w:p>
    <w:p w14:paraId="11693121" w14:textId="77777777" w:rsidR="005E603F" w:rsidRDefault="00000000">
      <w:pPr>
        <w:jc w:val="center"/>
      </w:pPr>
      <w:r>
        <w:rPr>
          <w:sz w:val="20"/>
        </w:rPr>
        <w:t>*Corresponding Author: jodhernandezbe@unal.edu.co</w:t>
      </w:r>
    </w:p>
    <w:p w14:paraId="0B8E7A7C" w14:textId="77777777" w:rsidR="005E603F" w:rsidRDefault="00000000">
      <w:pPr>
        <w:pStyle w:val="Heading1"/>
        <w:spacing w:before="0"/>
      </w:pPr>
      <w:r>
        <w:rPr>
          <w:color w:val="000000"/>
        </w:rPr>
        <w:t>Abstract</w:t>
      </w:r>
    </w:p>
    <w:p w14:paraId="6465899B" w14:textId="09D83877" w:rsidR="005E603F" w:rsidRDefault="00000000" w:rsidP="00432DDE">
      <w:pPr>
        <w:spacing w:line="480" w:lineRule="auto"/>
        <w:ind w:firstLine="720"/>
        <w:jc w:val="both"/>
      </w:pPr>
      <w:r>
        <w:rPr>
          <w:highlight w:val="yellow"/>
        </w:rPr>
        <w:t>[Abstract to be written once the final optimization results are available. It should state the decision addressed, the framework, the headline numbers for the baseline and the selected design, and their implications.]</w:t>
      </w:r>
    </w:p>
    <w:p w14:paraId="265CF59F" w14:textId="3D19EE3B" w:rsidR="005E603F" w:rsidRDefault="00000000">
      <w:pPr>
        <w:jc w:val="both"/>
      </w:pPr>
      <w:r>
        <w:rPr>
          <w:b/>
        </w:rPr>
        <w:t xml:space="preserve">Keywords: </w:t>
      </w:r>
      <w:r>
        <w:t xml:space="preserve">Hot-dip galvanizing; </w:t>
      </w:r>
      <w:r w:rsidR="004B037A">
        <w:t>o</w:t>
      </w:r>
      <w:r>
        <w:t xml:space="preserve">ptimization under uncertainty; </w:t>
      </w:r>
      <w:r w:rsidR="004B037A">
        <w:t>multi-objective</w:t>
      </w:r>
      <w:r w:rsidR="00CA5B20">
        <w:t xml:space="preserve"> optimization</w:t>
      </w:r>
      <w:r>
        <w:t xml:space="preserve">; GREENSCOPE; </w:t>
      </w:r>
      <w:r w:rsidR="004B037A">
        <w:t>f</w:t>
      </w:r>
      <w:r>
        <w:t>uzzy analytic hierarchy process; Zinc</w:t>
      </w:r>
    </w:p>
    <w:p w14:paraId="2DD7CA8A" w14:textId="77777777" w:rsidR="0005677F" w:rsidRDefault="0005677F">
      <w:pPr>
        <w:jc w:val="both"/>
      </w:pPr>
    </w:p>
    <w:p w14:paraId="4ADBDB18" w14:textId="77777777" w:rsidR="0005677F" w:rsidRPr="0005677F" w:rsidRDefault="0005677F" w:rsidP="0005677F">
      <w:pPr>
        <w:pStyle w:val="Heading1"/>
        <w:spacing w:before="0"/>
        <w:rPr>
          <w:color w:val="000000"/>
        </w:rPr>
      </w:pPr>
      <w:r w:rsidRPr="0005677F">
        <w:rPr>
          <w:color w:val="000000"/>
        </w:rPr>
        <w:t>Nomenclature</w:t>
      </w:r>
    </w:p>
    <w:tbl>
      <w:tblPr>
        <w:tblW w:w="9360" w:type="dxa"/>
        <w:jc w:val="center"/>
        <w:tblLayout w:type="fixed"/>
        <w:tblCellMar>
          <w:left w:w="10" w:type="dxa"/>
          <w:right w:w="10" w:type="dxa"/>
        </w:tblCellMar>
        <w:tblLook w:val="0480" w:firstRow="0" w:lastRow="0" w:firstColumn="1" w:lastColumn="0" w:noHBand="0" w:noVBand="1"/>
      </w:tblPr>
      <w:tblGrid>
        <w:gridCol w:w="2160"/>
        <w:gridCol w:w="7200"/>
      </w:tblGrid>
      <w:tr w:rsidR="0005677F" w14:paraId="1495D5B1" w14:textId="77777777" w:rsidTr="00992909">
        <w:tblPrEx>
          <w:tblCellMar>
            <w:top w:w="0" w:type="dxa"/>
            <w:bottom w:w="0" w:type="dxa"/>
          </w:tblCellMar>
        </w:tblPrEx>
        <w:trPr>
          <w:jc w:val="center"/>
        </w:trPr>
        <w:tc>
          <w:tcPr>
            <w:tcW w:w="2160" w:type="dxa"/>
            <w:tcBorders>
              <w:top w:val="single" w:sz="8" w:space="0" w:color="000000"/>
              <w:left w:val="nil"/>
              <w:bottom w:val="single" w:sz="8" w:space="0" w:color="000000"/>
              <w:right w:val="nil"/>
            </w:tcBorders>
            <w:shd w:val="clear" w:color="E8E8E8" w:fill="E8E8E8"/>
            <w:tcMar>
              <w:top w:w="30" w:type="dxa"/>
              <w:left w:w="80" w:type="dxa"/>
              <w:bottom w:w="30" w:type="dxa"/>
              <w:right w:w="80" w:type="dxa"/>
            </w:tcMar>
          </w:tcPr>
          <w:p w14:paraId="6F711051" w14:textId="77777777" w:rsidR="0005677F" w:rsidRDefault="0005677F">
            <w:r>
              <w:rPr>
                <w:b/>
                <w:color w:val="000000"/>
                <w:sz w:val="18"/>
              </w:rPr>
              <w:t>Symbol</w:t>
            </w:r>
          </w:p>
        </w:tc>
        <w:tc>
          <w:tcPr>
            <w:tcW w:w="7200" w:type="dxa"/>
            <w:tcBorders>
              <w:top w:val="single" w:sz="8" w:space="0" w:color="000000"/>
              <w:left w:val="nil"/>
              <w:bottom w:val="single" w:sz="8" w:space="0" w:color="000000"/>
              <w:right w:val="nil"/>
            </w:tcBorders>
            <w:shd w:val="clear" w:color="E8E8E8" w:fill="E8E8E8"/>
            <w:tcMar>
              <w:top w:w="30" w:type="dxa"/>
              <w:left w:w="80" w:type="dxa"/>
              <w:bottom w:w="30" w:type="dxa"/>
              <w:right w:w="80" w:type="dxa"/>
            </w:tcMar>
          </w:tcPr>
          <w:p w14:paraId="5F8BE324" w14:textId="77777777" w:rsidR="0005677F" w:rsidRDefault="0005677F">
            <w:r>
              <w:rPr>
                <w:b/>
                <w:color w:val="000000"/>
                <w:sz w:val="18"/>
              </w:rPr>
              <w:t>Description</w:t>
            </w:r>
          </w:p>
        </w:tc>
      </w:tr>
      <w:tr w:rsidR="0005677F" w14:paraId="1E4F372A"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53339335" w14:textId="77777777" w:rsidR="0005677F" w:rsidRDefault="0005677F">
            <w:proofErr w:type="spellStart"/>
            <w:proofErr w:type="gramStart"/>
            <w:r>
              <w:rPr>
                <w:i/>
                <w:color w:val="000000"/>
                <w:sz w:val="18"/>
              </w:rPr>
              <w:t>c</w:t>
            </w:r>
            <w:r>
              <w:rPr>
                <w:color w:val="000000"/>
                <w:sz w:val="18"/>
                <w:vertAlign w:val="subscript"/>
              </w:rPr>
              <w:t>Fe,pick</w:t>
            </w:r>
            <w:proofErr w:type="spellEnd"/>
            <w:proofErr w:type="gramEnd"/>
          </w:p>
        </w:tc>
        <w:tc>
          <w:tcPr>
            <w:tcW w:w="7200" w:type="dxa"/>
            <w:tcBorders>
              <w:top w:val="nil"/>
              <w:left w:val="nil"/>
              <w:bottom w:val="nil"/>
              <w:right w:val="nil"/>
            </w:tcBorders>
            <w:tcMar>
              <w:top w:w="30" w:type="dxa"/>
              <w:left w:w="80" w:type="dxa"/>
              <w:bottom w:w="30" w:type="dxa"/>
              <w:right w:w="80" w:type="dxa"/>
            </w:tcMar>
          </w:tcPr>
          <w:p w14:paraId="7CA34306" w14:textId="77777777" w:rsidR="0005677F" w:rsidRDefault="0005677F">
            <w:r>
              <w:rPr>
                <w:color w:val="000000"/>
                <w:sz w:val="18"/>
              </w:rPr>
              <w:t>Peak iron concentration in the normal pickling bath (g/L)</w:t>
            </w:r>
          </w:p>
        </w:tc>
      </w:tr>
      <w:tr w:rsidR="0005677F" w14:paraId="73B5FDAF"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60041501" w14:textId="77777777" w:rsidR="0005677F" w:rsidRDefault="0005677F">
            <w:r>
              <w:rPr>
                <w:color w:val="000000"/>
                <w:sz w:val="18"/>
              </w:rPr>
              <w:t>COM</w:t>
            </w:r>
          </w:p>
        </w:tc>
        <w:tc>
          <w:tcPr>
            <w:tcW w:w="7200" w:type="dxa"/>
            <w:tcBorders>
              <w:top w:val="nil"/>
              <w:left w:val="nil"/>
              <w:bottom w:val="nil"/>
              <w:right w:val="nil"/>
            </w:tcBorders>
            <w:tcMar>
              <w:top w:w="30" w:type="dxa"/>
              <w:left w:w="80" w:type="dxa"/>
              <w:bottom w:w="30" w:type="dxa"/>
              <w:right w:w="80" w:type="dxa"/>
            </w:tcMar>
          </w:tcPr>
          <w:p w14:paraId="17A6C3E6" w14:textId="77777777" w:rsidR="0005677F" w:rsidRDefault="0005677F">
            <w:r>
              <w:rPr>
                <w:color w:val="000000"/>
                <w:sz w:val="18"/>
              </w:rPr>
              <w:t>Annual cost of manufacture (USD)</w:t>
            </w:r>
          </w:p>
        </w:tc>
      </w:tr>
      <w:tr w:rsidR="0005677F" w14:paraId="179F5A00"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27D20615" w14:textId="77777777" w:rsidR="0005677F" w:rsidRDefault="0005677F">
            <w:proofErr w:type="gramStart"/>
            <w:r>
              <w:rPr>
                <w:color w:val="000000"/>
                <w:sz w:val="18"/>
              </w:rPr>
              <w:t>E[</w:t>
            </w:r>
            <w:proofErr w:type="gramEnd"/>
            <w:r>
              <w:rPr>
                <w:color w:val="000000"/>
                <w:sz w:val="18"/>
              </w:rPr>
              <w:t>·]</w:t>
            </w:r>
          </w:p>
        </w:tc>
        <w:tc>
          <w:tcPr>
            <w:tcW w:w="7200" w:type="dxa"/>
            <w:tcBorders>
              <w:top w:val="nil"/>
              <w:left w:val="nil"/>
              <w:bottom w:val="nil"/>
              <w:right w:val="nil"/>
            </w:tcBorders>
            <w:tcMar>
              <w:top w:w="30" w:type="dxa"/>
              <w:left w:w="80" w:type="dxa"/>
              <w:bottom w:w="30" w:type="dxa"/>
              <w:right w:w="80" w:type="dxa"/>
            </w:tcMar>
          </w:tcPr>
          <w:p w14:paraId="3F400F7F" w14:textId="77777777" w:rsidR="0005677F" w:rsidRDefault="0005677F">
            <w:r>
              <w:rPr>
                <w:color w:val="000000"/>
                <w:sz w:val="18"/>
              </w:rPr>
              <w:t xml:space="preserve">Expected value over the </w:t>
            </w:r>
            <w:r>
              <w:rPr>
                <w:i/>
                <w:color w:val="000000"/>
                <w:sz w:val="18"/>
              </w:rPr>
              <w:t>N</w:t>
            </w:r>
            <w:r>
              <w:rPr>
                <w:color w:val="000000"/>
                <w:sz w:val="18"/>
              </w:rPr>
              <w:t xml:space="preserve"> simulated years</w:t>
            </w:r>
          </w:p>
        </w:tc>
      </w:tr>
      <w:tr w:rsidR="0005677F" w14:paraId="65B43211"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574C63D4" w14:textId="77777777" w:rsidR="0005677F" w:rsidRDefault="0005677F">
            <w:r>
              <w:rPr>
                <w:i/>
                <w:color w:val="000000"/>
                <w:sz w:val="18"/>
              </w:rPr>
              <w:t>F</w:t>
            </w:r>
            <w:r>
              <w:rPr>
                <w:color w:val="000000"/>
                <w:sz w:val="18"/>
              </w:rPr>
              <w:t>(</w:t>
            </w:r>
            <w:r>
              <w:rPr>
                <w:i/>
                <w:color w:val="000000"/>
                <w:sz w:val="18"/>
              </w:rPr>
              <w:t>x</w:t>
            </w:r>
            <w:r>
              <w:rPr>
                <w:color w:val="000000"/>
                <w:sz w:val="18"/>
              </w:rPr>
              <w:t>)</w:t>
            </w:r>
          </w:p>
        </w:tc>
        <w:tc>
          <w:tcPr>
            <w:tcW w:w="7200" w:type="dxa"/>
            <w:tcBorders>
              <w:top w:val="nil"/>
              <w:left w:val="nil"/>
              <w:bottom w:val="nil"/>
              <w:right w:val="nil"/>
            </w:tcBorders>
            <w:tcMar>
              <w:top w:w="30" w:type="dxa"/>
              <w:left w:w="80" w:type="dxa"/>
              <w:bottom w:w="30" w:type="dxa"/>
              <w:right w:w="80" w:type="dxa"/>
            </w:tcMar>
          </w:tcPr>
          <w:p w14:paraId="289E8DD7" w14:textId="77777777" w:rsidR="0005677F" w:rsidRDefault="0005677F">
            <w:r>
              <w:rPr>
                <w:color w:val="000000"/>
                <w:sz w:val="18"/>
              </w:rPr>
              <w:t>Vector of the four objectives</w:t>
            </w:r>
          </w:p>
        </w:tc>
      </w:tr>
      <w:tr w:rsidR="0005677F" w14:paraId="03BDBF03"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4CF1A286" w14:textId="77777777" w:rsidR="0005677F" w:rsidRDefault="0005677F">
            <w:proofErr w:type="spellStart"/>
            <w:r>
              <w:rPr>
                <w:i/>
                <w:color w:val="000000"/>
                <w:sz w:val="18"/>
              </w:rPr>
              <w:t>f</w:t>
            </w:r>
            <w:r>
              <w:rPr>
                <w:color w:val="000000"/>
                <w:sz w:val="18"/>
                <w:vertAlign w:val="subscript"/>
              </w:rPr>
              <w:t>k</w:t>
            </w:r>
            <w:proofErr w:type="spellEnd"/>
            <w:r>
              <w:rPr>
                <w:color w:val="000000"/>
                <w:sz w:val="18"/>
              </w:rPr>
              <w:t>(</w:t>
            </w:r>
            <w:r>
              <w:rPr>
                <w:i/>
                <w:color w:val="000000"/>
                <w:sz w:val="18"/>
              </w:rPr>
              <w:t>x</w:t>
            </w:r>
            <w:r>
              <w:rPr>
                <w:color w:val="000000"/>
                <w:sz w:val="18"/>
              </w:rPr>
              <w:t>)</w:t>
            </w:r>
          </w:p>
        </w:tc>
        <w:tc>
          <w:tcPr>
            <w:tcW w:w="7200" w:type="dxa"/>
            <w:tcBorders>
              <w:top w:val="nil"/>
              <w:left w:val="nil"/>
              <w:bottom w:val="nil"/>
              <w:right w:val="nil"/>
            </w:tcBorders>
            <w:tcMar>
              <w:top w:w="30" w:type="dxa"/>
              <w:left w:w="80" w:type="dxa"/>
              <w:bottom w:w="30" w:type="dxa"/>
              <w:right w:w="80" w:type="dxa"/>
            </w:tcMar>
          </w:tcPr>
          <w:p w14:paraId="6CF4BB2E" w14:textId="77777777" w:rsidR="0005677F" w:rsidRDefault="0005677F">
            <w:r>
              <w:rPr>
                <w:color w:val="000000"/>
                <w:sz w:val="18"/>
              </w:rPr>
              <w:t xml:space="preserve">Value of objective </w:t>
            </w:r>
            <w:r>
              <w:rPr>
                <w:i/>
                <w:color w:val="000000"/>
                <w:sz w:val="18"/>
              </w:rPr>
              <w:t>k</w:t>
            </w:r>
            <w:r>
              <w:rPr>
                <w:color w:val="000000"/>
                <w:sz w:val="18"/>
              </w:rPr>
              <w:t xml:space="preserve"> for design </w:t>
            </w:r>
            <w:r>
              <w:rPr>
                <w:i/>
                <w:color w:val="000000"/>
                <w:sz w:val="18"/>
              </w:rPr>
              <w:t>x</w:t>
            </w:r>
          </w:p>
        </w:tc>
      </w:tr>
      <w:tr w:rsidR="0005677F" w14:paraId="4023C699"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21558DC4" w14:textId="77777777" w:rsidR="0005677F" w:rsidRDefault="0005677F">
            <w:proofErr w:type="spellStart"/>
            <w:r>
              <w:rPr>
                <w:i/>
                <w:color w:val="000000"/>
                <w:sz w:val="18"/>
              </w:rPr>
              <w:t>f</w:t>
            </w:r>
            <w:r>
              <w:rPr>
                <w:color w:val="000000"/>
                <w:sz w:val="18"/>
                <w:vertAlign w:val="subscript"/>
              </w:rPr>
              <w:t>k</w:t>
            </w:r>
            <w:r>
              <w:rPr>
                <w:color w:val="000000"/>
                <w:sz w:val="18"/>
                <w:vertAlign w:val="superscript"/>
              </w:rPr>
              <w:t>nadir</w:t>
            </w:r>
            <w:proofErr w:type="spellEnd"/>
            <w:r>
              <w:rPr>
                <w:color w:val="000000"/>
                <w:sz w:val="18"/>
              </w:rPr>
              <w:t xml:space="preserve">, </w:t>
            </w:r>
            <w:proofErr w:type="spellStart"/>
            <w:r>
              <w:rPr>
                <w:i/>
                <w:color w:val="000000"/>
                <w:sz w:val="18"/>
              </w:rPr>
              <w:t>f</w:t>
            </w:r>
            <w:r>
              <w:rPr>
                <w:color w:val="000000"/>
                <w:sz w:val="18"/>
                <w:vertAlign w:val="subscript"/>
              </w:rPr>
              <w:t>k</w:t>
            </w:r>
            <w:r>
              <w:rPr>
                <w:color w:val="000000"/>
                <w:sz w:val="18"/>
                <w:vertAlign w:val="superscript"/>
              </w:rPr>
              <w:t>utopia</w:t>
            </w:r>
            <w:proofErr w:type="spellEnd"/>
          </w:p>
        </w:tc>
        <w:tc>
          <w:tcPr>
            <w:tcW w:w="7200" w:type="dxa"/>
            <w:tcBorders>
              <w:top w:val="nil"/>
              <w:left w:val="nil"/>
              <w:bottom w:val="nil"/>
              <w:right w:val="nil"/>
            </w:tcBorders>
            <w:tcMar>
              <w:top w:w="30" w:type="dxa"/>
              <w:left w:w="80" w:type="dxa"/>
              <w:bottom w:w="30" w:type="dxa"/>
              <w:right w:w="80" w:type="dxa"/>
            </w:tcMar>
          </w:tcPr>
          <w:p w14:paraId="6A2C4A1A" w14:textId="77777777" w:rsidR="0005677F" w:rsidRDefault="0005677F">
            <w:r>
              <w:rPr>
                <w:color w:val="000000"/>
                <w:sz w:val="18"/>
              </w:rPr>
              <w:t xml:space="preserve">Nadir and utopia values of objective </w:t>
            </w:r>
            <w:r>
              <w:rPr>
                <w:i/>
                <w:color w:val="000000"/>
                <w:sz w:val="18"/>
              </w:rPr>
              <w:t>k</w:t>
            </w:r>
            <w:r>
              <w:rPr>
                <w:color w:val="000000"/>
                <w:sz w:val="18"/>
              </w:rPr>
              <w:t xml:space="preserve"> in the Pareto set</w:t>
            </w:r>
          </w:p>
        </w:tc>
      </w:tr>
      <w:tr w:rsidR="0005677F" w14:paraId="327F6F01"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3786BECA" w14:textId="77777777" w:rsidR="0005677F" w:rsidRDefault="0005677F">
            <w:r>
              <w:rPr>
                <w:i/>
                <w:color w:val="000000"/>
                <w:sz w:val="18"/>
              </w:rPr>
              <w:t>g</w:t>
            </w:r>
            <w:r>
              <w:rPr>
                <w:color w:val="000000"/>
                <w:sz w:val="18"/>
                <w:vertAlign w:val="subscript"/>
              </w:rPr>
              <w:t>1</w:t>
            </w:r>
            <w:r>
              <w:rPr>
                <w:color w:val="000000"/>
                <w:sz w:val="18"/>
              </w:rPr>
              <w:t>(</w:t>
            </w:r>
            <w:r>
              <w:rPr>
                <w:i/>
                <w:color w:val="000000"/>
                <w:sz w:val="18"/>
              </w:rPr>
              <w:t>x</w:t>
            </w:r>
            <w:r>
              <w:rPr>
                <w:color w:val="000000"/>
                <w:sz w:val="18"/>
              </w:rPr>
              <w:t xml:space="preserve">), </w:t>
            </w:r>
            <w:r>
              <w:rPr>
                <w:i/>
                <w:color w:val="000000"/>
                <w:sz w:val="18"/>
              </w:rPr>
              <w:t>g</w:t>
            </w:r>
            <w:r>
              <w:rPr>
                <w:color w:val="000000"/>
                <w:sz w:val="18"/>
                <w:vertAlign w:val="subscript"/>
              </w:rPr>
              <w:t>2</w:t>
            </w:r>
            <w:r>
              <w:rPr>
                <w:color w:val="000000"/>
                <w:sz w:val="18"/>
              </w:rPr>
              <w:t>(</w:t>
            </w:r>
            <w:r>
              <w:rPr>
                <w:i/>
                <w:color w:val="000000"/>
                <w:sz w:val="18"/>
              </w:rPr>
              <w:t>x</w:t>
            </w:r>
            <w:r>
              <w:rPr>
                <w:color w:val="000000"/>
                <w:sz w:val="18"/>
              </w:rPr>
              <w:t>)</w:t>
            </w:r>
          </w:p>
        </w:tc>
        <w:tc>
          <w:tcPr>
            <w:tcW w:w="7200" w:type="dxa"/>
            <w:tcBorders>
              <w:top w:val="nil"/>
              <w:left w:val="nil"/>
              <w:bottom w:val="nil"/>
              <w:right w:val="nil"/>
            </w:tcBorders>
            <w:tcMar>
              <w:top w:w="30" w:type="dxa"/>
              <w:left w:w="80" w:type="dxa"/>
              <w:bottom w:w="30" w:type="dxa"/>
              <w:right w:w="80" w:type="dxa"/>
            </w:tcMar>
          </w:tcPr>
          <w:p w14:paraId="475211BE" w14:textId="77777777" w:rsidR="0005677F" w:rsidRDefault="0005677F">
            <w:r>
              <w:rPr>
                <w:color w:val="000000"/>
                <w:sz w:val="18"/>
              </w:rPr>
              <w:t>Inequality constraints on the defect fraction and the iron concentration</w:t>
            </w:r>
          </w:p>
        </w:tc>
      </w:tr>
      <w:tr w:rsidR="0005677F" w14:paraId="47A3E54B"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5DD2500E" w14:textId="77777777" w:rsidR="0005677F" w:rsidRDefault="0005677F">
            <w:proofErr w:type="spellStart"/>
            <w:proofErr w:type="gramStart"/>
            <w:r>
              <w:rPr>
                <w:i/>
                <w:color w:val="000000"/>
                <w:sz w:val="18"/>
              </w:rPr>
              <w:t>G</w:t>
            </w:r>
            <w:r>
              <w:rPr>
                <w:color w:val="000000"/>
                <w:sz w:val="18"/>
                <w:vertAlign w:val="subscript"/>
              </w:rPr>
              <w:t>i,j</w:t>
            </w:r>
            <w:proofErr w:type="spellEnd"/>
            <w:proofErr w:type="gramEnd"/>
          </w:p>
        </w:tc>
        <w:tc>
          <w:tcPr>
            <w:tcW w:w="7200" w:type="dxa"/>
            <w:tcBorders>
              <w:top w:val="nil"/>
              <w:left w:val="nil"/>
              <w:bottom w:val="nil"/>
              <w:right w:val="nil"/>
            </w:tcBorders>
            <w:tcMar>
              <w:top w:w="30" w:type="dxa"/>
              <w:left w:w="80" w:type="dxa"/>
              <w:bottom w:w="30" w:type="dxa"/>
              <w:right w:w="80" w:type="dxa"/>
            </w:tcMar>
          </w:tcPr>
          <w:p w14:paraId="685608FE" w14:textId="77777777" w:rsidR="0005677F" w:rsidRDefault="0005677F">
            <w:r>
              <w:rPr>
                <w:color w:val="000000"/>
                <w:sz w:val="18"/>
              </w:rPr>
              <w:t xml:space="preserve">Score of </w:t>
            </w:r>
            <w:proofErr w:type="gramStart"/>
            <w:r>
              <w:rPr>
                <w:color w:val="000000"/>
                <w:sz w:val="18"/>
              </w:rPr>
              <w:t>indicator</w:t>
            </w:r>
            <w:proofErr w:type="gramEnd"/>
            <w:r>
              <w:rPr>
                <w:color w:val="000000"/>
                <w:sz w:val="18"/>
              </w:rPr>
              <w:t xml:space="preserve"> </w:t>
            </w:r>
            <w:proofErr w:type="spellStart"/>
            <w:r>
              <w:rPr>
                <w:i/>
                <w:color w:val="000000"/>
                <w:sz w:val="18"/>
              </w:rPr>
              <w:t>i</w:t>
            </w:r>
            <w:proofErr w:type="spellEnd"/>
            <w:r>
              <w:rPr>
                <w:color w:val="000000"/>
                <w:sz w:val="18"/>
              </w:rPr>
              <w:t xml:space="preserve"> in unit process </w:t>
            </w:r>
            <w:r>
              <w:rPr>
                <w:i/>
                <w:color w:val="000000"/>
                <w:sz w:val="18"/>
              </w:rPr>
              <w:t>j</w:t>
            </w:r>
            <w:r>
              <w:rPr>
                <w:color w:val="000000"/>
                <w:sz w:val="18"/>
              </w:rPr>
              <w:t xml:space="preserve"> (0 to 100)</w:t>
            </w:r>
          </w:p>
        </w:tc>
      </w:tr>
      <w:tr w:rsidR="0005677F" w14:paraId="0EBE3227"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75A05319" w14:textId="77777777" w:rsidR="0005677F" w:rsidRDefault="0005677F">
            <w:proofErr w:type="spellStart"/>
            <w:r>
              <w:rPr>
                <w:i/>
                <w:color w:val="000000"/>
                <w:sz w:val="18"/>
              </w:rPr>
              <w:t>i</w:t>
            </w:r>
            <w:proofErr w:type="spellEnd"/>
          </w:p>
        </w:tc>
        <w:tc>
          <w:tcPr>
            <w:tcW w:w="7200" w:type="dxa"/>
            <w:tcBorders>
              <w:top w:val="nil"/>
              <w:left w:val="nil"/>
              <w:bottom w:val="nil"/>
              <w:right w:val="nil"/>
            </w:tcBorders>
            <w:tcMar>
              <w:top w:w="30" w:type="dxa"/>
              <w:left w:w="80" w:type="dxa"/>
              <w:bottom w:w="30" w:type="dxa"/>
              <w:right w:w="80" w:type="dxa"/>
            </w:tcMar>
          </w:tcPr>
          <w:p w14:paraId="22A0D2A8" w14:textId="77777777" w:rsidR="0005677F" w:rsidRDefault="0005677F">
            <w:r>
              <w:rPr>
                <w:color w:val="000000"/>
                <w:sz w:val="18"/>
              </w:rPr>
              <w:t>Index of the GREENSCOPE indicators (1 to 17)</w:t>
            </w:r>
          </w:p>
        </w:tc>
      </w:tr>
      <w:tr w:rsidR="0005677F" w14:paraId="22A794D3"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3196C1B5" w14:textId="77777777" w:rsidR="0005677F" w:rsidRDefault="0005677F">
            <w:r>
              <w:rPr>
                <w:i/>
                <w:color w:val="000000"/>
                <w:sz w:val="18"/>
              </w:rPr>
              <w:t>j</w:t>
            </w:r>
          </w:p>
        </w:tc>
        <w:tc>
          <w:tcPr>
            <w:tcW w:w="7200" w:type="dxa"/>
            <w:tcBorders>
              <w:top w:val="nil"/>
              <w:left w:val="nil"/>
              <w:bottom w:val="nil"/>
              <w:right w:val="nil"/>
            </w:tcBorders>
            <w:tcMar>
              <w:top w:w="30" w:type="dxa"/>
              <w:left w:w="80" w:type="dxa"/>
              <w:bottom w:w="30" w:type="dxa"/>
              <w:right w:w="80" w:type="dxa"/>
            </w:tcMar>
          </w:tcPr>
          <w:p w14:paraId="7F9217CA" w14:textId="77777777" w:rsidR="0005677F" w:rsidRDefault="0005677F">
            <w:r>
              <w:rPr>
                <w:color w:val="000000"/>
                <w:sz w:val="18"/>
              </w:rPr>
              <w:t xml:space="preserve">Index of the unit processes (1 to </w:t>
            </w:r>
            <w:r>
              <w:rPr>
                <w:i/>
                <w:color w:val="000000"/>
                <w:sz w:val="18"/>
              </w:rPr>
              <w:t>m</w:t>
            </w:r>
            <w:r>
              <w:rPr>
                <w:color w:val="000000"/>
                <w:sz w:val="18"/>
              </w:rPr>
              <w:t>)</w:t>
            </w:r>
          </w:p>
        </w:tc>
      </w:tr>
      <w:tr w:rsidR="0005677F" w14:paraId="56BD5EB2"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12052079" w14:textId="77777777" w:rsidR="0005677F" w:rsidRDefault="0005677F">
            <w:r>
              <w:rPr>
                <w:i/>
                <w:color w:val="000000"/>
                <w:sz w:val="18"/>
              </w:rPr>
              <w:t>k</w:t>
            </w:r>
          </w:p>
        </w:tc>
        <w:tc>
          <w:tcPr>
            <w:tcW w:w="7200" w:type="dxa"/>
            <w:tcBorders>
              <w:top w:val="nil"/>
              <w:left w:val="nil"/>
              <w:bottom w:val="nil"/>
              <w:right w:val="nil"/>
            </w:tcBorders>
            <w:tcMar>
              <w:top w:w="30" w:type="dxa"/>
              <w:left w:w="80" w:type="dxa"/>
              <w:bottom w:w="30" w:type="dxa"/>
              <w:right w:w="80" w:type="dxa"/>
            </w:tcMar>
          </w:tcPr>
          <w:p w14:paraId="69BB6FD0" w14:textId="77777777" w:rsidR="0005677F" w:rsidRDefault="0005677F">
            <w:r>
              <w:rPr>
                <w:color w:val="000000"/>
                <w:sz w:val="18"/>
              </w:rPr>
              <w:t>Index of the objectives</w:t>
            </w:r>
          </w:p>
        </w:tc>
      </w:tr>
      <w:tr w:rsidR="0005677F" w14:paraId="3ADFBEA5"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39E6AE3A" w14:textId="77777777" w:rsidR="0005677F" w:rsidRDefault="0005677F">
            <w:r>
              <w:rPr>
                <w:i/>
                <w:color w:val="000000"/>
                <w:sz w:val="18"/>
              </w:rPr>
              <w:t>L</w:t>
            </w:r>
            <w:r>
              <w:rPr>
                <w:color w:val="000000"/>
                <w:sz w:val="18"/>
                <w:vertAlign w:val="subscript"/>
              </w:rPr>
              <w:t>MP</w:t>
            </w:r>
          </w:p>
        </w:tc>
        <w:tc>
          <w:tcPr>
            <w:tcW w:w="7200" w:type="dxa"/>
            <w:tcBorders>
              <w:top w:val="nil"/>
              <w:left w:val="nil"/>
              <w:bottom w:val="nil"/>
              <w:right w:val="nil"/>
            </w:tcBorders>
            <w:tcMar>
              <w:top w:w="30" w:type="dxa"/>
              <w:left w:w="80" w:type="dxa"/>
              <w:bottom w:w="30" w:type="dxa"/>
              <w:right w:w="80" w:type="dxa"/>
            </w:tcMar>
          </w:tcPr>
          <w:p w14:paraId="61B6BF8F" w14:textId="77777777" w:rsidR="0005677F" w:rsidRDefault="0005677F">
            <w:r>
              <w:rPr>
                <w:color w:val="000000"/>
                <w:sz w:val="18"/>
              </w:rPr>
              <w:t xml:space="preserve">Sustainability threshold of the utility (0.8 </w:t>
            </w:r>
            <w:proofErr w:type="spellStart"/>
            <w:r>
              <w:rPr>
                <w:i/>
                <w:color w:val="000000"/>
                <w:sz w:val="18"/>
              </w:rPr>
              <w:t>U</w:t>
            </w:r>
            <w:r>
              <w:rPr>
                <w:color w:val="000000"/>
                <w:sz w:val="18"/>
                <w:vertAlign w:val="subscript"/>
              </w:rPr>
              <w:t>max</w:t>
            </w:r>
            <w:proofErr w:type="spellEnd"/>
            <w:r>
              <w:rPr>
                <w:color w:val="000000"/>
                <w:sz w:val="18"/>
              </w:rPr>
              <w:t>)</w:t>
            </w:r>
          </w:p>
        </w:tc>
      </w:tr>
      <w:tr w:rsidR="0005677F" w14:paraId="60766747"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34A196C9" w14:textId="77777777" w:rsidR="0005677F" w:rsidRDefault="0005677F">
            <w:r>
              <w:rPr>
                <w:i/>
                <w:color w:val="000000"/>
                <w:sz w:val="18"/>
              </w:rPr>
              <w:t>m</w:t>
            </w:r>
          </w:p>
        </w:tc>
        <w:tc>
          <w:tcPr>
            <w:tcW w:w="7200" w:type="dxa"/>
            <w:tcBorders>
              <w:top w:val="nil"/>
              <w:left w:val="nil"/>
              <w:bottom w:val="nil"/>
              <w:right w:val="nil"/>
            </w:tcBorders>
            <w:tcMar>
              <w:top w:w="30" w:type="dxa"/>
              <w:left w:w="80" w:type="dxa"/>
              <w:bottom w:w="30" w:type="dxa"/>
              <w:right w:w="80" w:type="dxa"/>
            </w:tcMar>
          </w:tcPr>
          <w:p w14:paraId="36226481" w14:textId="77777777" w:rsidR="0005677F" w:rsidRDefault="0005677F">
            <w:r>
              <w:rPr>
                <w:color w:val="000000"/>
                <w:sz w:val="18"/>
              </w:rPr>
              <w:t>Number of unit processes (</w:t>
            </w:r>
            <w:r>
              <w:rPr>
                <w:i/>
                <w:color w:val="000000"/>
                <w:sz w:val="18"/>
              </w:rPr>
              <w:t>m</w:t>
            </w:r>
            <w:r>
              <w:rPr>
                <w:color w:val="000000"/>
                <w:sz w:val="18"/>
              </w:rPr>
              <w:t xml:space="preserve"> = 7)</w:t>
            </w:r>
          </w:p>
        </w:tc>
      </w:tr>
      <w:tr w:rsidR="0005677F" w14:paraId="41DBBEE7"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3964F465" w14:textId="77777777" w:rsidR="0005677F" w:rsidRDefault="0005677F">
            <w:proofErr w:type="spellStart"/>
            <w:r>
              <w:rPr>
                <w:i/>
                <w:color w:val="000000"/>
                <w:sz w:val="18"/>
              </w:rPr>
              <w:t>m</w:t>
            </w:r>
            <w:r>
              <w:rPr>
                <w:color w:val="000000"/>
                <w:sz w:val="18"/>
                <w:vertAlign w:val="subscript"/>
              </w:rPr>
              <w:t>s</w:t>
            </w:r>
            <w:proofErr w:type="spellEnd"/>
          </w:p>
        </w:tc>
        <w:tc>
          <w:tcPr>
            <w:tcW w:w="7200" w:type="dxa"/>
            <w:tcBorders>
              <w:top w:val="nil"/>
              <w:left w:val="nil"/>
              <w:bottom w:val="nil"/>
              <w:right w:val="nil"/>
            </w:tcBorders>
            <w:tcMar>
              <w:top w:w="30" w:type="dxa"/>
              <w:left w:w="80" w:type="dxa"/>
              <w:bottom w:w="30" w:type="dxa"/>
              <w:right w:w="80" w:type="dxa"/>
            </w:tcMar>
          </w:tcPr>
          <w:p w14:paraId="7100AC37" w14:textId="77777777" w:rsidR="0005677F" w:rsidRDefault="0005677F">
            <w:r>
              <w:rPr>
                <w:color w:val="000000"/>
                <w:sz w:val="18"/>
              </w:rPr>
              <w:t xml:space="preserve">Mass of piece </w:t>
            </w:r>
            <w:r>
              <w:rPr>
                <w:i/>
                <w:color w:val="000000"/>
                <w:sz w:val="18"/>
              </w:rPr>
              <w:t>s</w:t>
            </w:r>
            <w:r>
              <w:rPr>
                <w:color w:val="000000"/>
                <w:sz w:val="18"/>
              </w:rPr>
              <w:t xml:space="preserve"> (kg)</w:t>
            </w:r>
          </w:p>
        </w:tc>
      </w:tr>
      <w:tr w:rsidR="0005677F" w14:paraId="4171534B"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2637869A" w14:textId="77777777" w:rsidR="0005677F" w:rsidRDefault="0005677F">
            <w:r>
              <w:rPr>
                <w:i/>
                <w:color w:val="000000"/>
                <w:sz w:val="18"/>
              </w:rPr>
              <w:t>N</w:t>
            </w:r>
          </w:p>
        </w:tc>
        <w:tc>
          <w:tcPr>
            <w:tcW w:w="7200" w:type="dxa"/>
            <w:tcBorders>
              <w:top w:val="nil"/>
              <w:left w:val="nil"/>
              <w:bottom w:val="nil"/>
              <w:right w:val="nil"/>
            </w:tcBorders>
            <w:tcMar>
              <w:top w:w="30" w:type="dxa"/>
              <w:left w:w="80" w:type="dxa"/>
              <w:bottom w:w="30" w:type="dxa"/>
              <w:right w:w="80" w:type="dxa"/>
            </w:tcMar>
          </w:tcPr>
          <w:p w14:paraId="3B337DE3" w14:textId="77777777" w:rsidR="0005677F" w:rsidRDefault="0005677F">
            <w:r>
              <w:rPr>
                <w:color w:val="000000"/>
                <w:sz w:val="18"/>
              </w:rPr>
              <w:t>Number of simulated years per candidate (</w:t>
            </w:r>
            <w:r>
              <w:rPr>
                <w:i/>
                <w:color w:val="000000"/>
                <w:sz w:val="18"/>
              </w:rPr>
              <w:t>N</w:t>
            </w:r>
            <w:r>
              <w:rPr>
                <w:color w:val="000000"/>
                <w:sz w:val="18"/>
              </w:rPr>
              <w:t xml:space="preserve"> = 100)</w:t>
            </w:r>
          </w:p>
        </w:tc>
      </w:tr>
      <w:tr w:rsidR="00227590" w14:paraId="20B1D259"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4482FA39" w14:textId="0565F082" w:rsidR="00227590" w:rsidRDefault="00227590">
            <w:pPr>
              <w:rPr>
                <w:i/>
                <w:color w:val="000000"/>
                <w:sz w:val="18"/>
              </w:rPr>
            </w:pPr>
            <w:proofErr w:type="gramStart"/>
            <w:r w:rsidRPr="00227590">
              <w:rPr>
                <w:i/>
                <w:color w:val="000000"/>
                <w:sz w:val="18"/>
              </w:rPr>
              <w:t>N</w:t>
            </w:r>
            <w:r w:rsidRPr="00227590">
              <w:rPr>
                <w:color w:val="000000"/>
                <w:sz w:val="18"/>
              </w:rPr>
              <w:t>(</w:t>
            </w:r>
            <w:proofErr w:type="gramEnd"/>
            <w:r w:rsidRPr="00227590">
              <w:rPr>
                <w:i/>
                <w:color w:val="000000"/>
                <w:sz w:val="18"/>
              </w:rPr>
              <w:t>μ</w:t>
            </w:r>
            <w:r w:rsidRPr="00227590">
              <w:rPr>
                <w:color w:val="000000"/>
                <w:sz w:val="18"/>
              </w:rPr>
              <w:t xml:space="preserve">, </w:t>
            </w:r>
            <w:r w:rsidRPr="00227590">
              <w:rPr>
                <w:i/>
                <w:color w:val="000000"/>
                <w:sz w:val="18"/>
              </w:rPr>
              <w:t>σ</w:t>
            </w:r>
            <w:r w:rsidRPr="00227590">
              <w:rPr>
                <w:color w:val="000000"/>
                <w:sz w:val="18"/>
                <w:vertAlign w:val="superscript"/>
              </w:rPr>
              <w:t>2</w:t>
            </w:r>
            <w:r w:rsidRPr="00227590">
              <w:rPr>
                <w:color w:val="000000"/>
                <w:sz w:val="18"/>
              </w:rPr>
              <w:t>)</w:t>
            </w:r>
          </w:p>
        </w:tc>
        <w:tc>
          <w:tcPr>
            <w:tcW w:w="7200" w:type="dxa"/>
            <w:tcBorders>
              <w:top w:val="nil"/>
              <w:left w:val="nil"/>
              <w:bottom w:val="nil"/>
              <w:right w:val="nil"/>
            </w:tcBorders>
            <w:tcMar>
              <w:top w:w="30" w:type="dxa"/>
              <w:left w:w="80" w:type="dxa"/>
              <w:bottom w:w="30" w:type="dxa"/>
              <w:right w:w="80" w:type="dxa"/>
            </w:tcMar>
          </w:tcPr>
          <w:p w14:paraId="6FC62CCE" w14:textId="748927D2" w:rsidR="00227590" w:rsidRDefault="00227590">
            <w:pPr>
              <w:rPr>
                <w:color w:val="000000"/>
                <w:sz w:val="18"/>
              </w:rPr>
            </w:pPr>
            <w:r w:rsidRPr="00227590">
              <w:rPr>
                <w:color w:val="000000"/>
                <w:sz w:val="18"/>
              </w:rPr>
              <w:t xml:space="preserve">Normal distribution with mean </w:t>
            </w:r>
            <w:r w:rsidRPr="00227590">
              <w:rPr>
                <w:i/>
                <w:color w:val="000000"/>
                <w:sz w:val="18"/>
              </w:rPr>
              <w:t>μ</w:t>
            </w:r>
            <w:r w:rsidRPr="00227590">
              <w:rPr>
                <w:color w:val="000000"/>
                <w:sz w:val="18"/>
              </w:rPr>
              <w:t xml:space="preserve"> and variance </w:t>
            </w:r>
            <w:r w:rsidRPr="00227590">
              <w:rPr>
                <w:i/>
                <w:color w:val="000000"/>
                <w:sz w:val="18"/>
              </w:rPr>
              <w:t>σ</w:t>
            </w:r>
            <w:r w:rsidRPr="00227590">
              <w:rPr>
                <w:color w:val="000000"/>
                <w:sz w:val="18"/>
                <w:vertAlign w:val="superscript"/>
              </w:rPr>
              <w:t>2</w:t>
            </w:r>
          </w:p>
        </w:tc>
      </w:tr>
      <w:tr w:rsidR="0005677F" w14:paraId="1A14B092"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33953851" w14:textId="77777777" w:rsidR="0005677F" w:rsidRDefault="0005677F">
            <w:proofErr w:type="spellStart"/>
            <w:r>
              <w:rPr>
                <w:i/>
                <w:color w:val="000000"/>
                <w:sz w:val="18"/>
              </w:rPr>
              <w:t>P</w:t>
            </w:r>
            <w:r>
              <w:rPr>
                <w:color w:val="000000"/>
                <w:sz w:val="18"/>
                <w:vertAlign w:val="subscript"/>
              </w:rPr>
              <w:t>sustainable</w:t>
            </w:r>
            <w:proofErr w:type="spellEnd"/>
          </w:p>
        </w:tc>
        <w:tc>
          <w:tcPr>
            <w:tcW w:w="7200" w:type="dxa"/>
            <w:tcBorders>
              <w:top w:val="nil"/>
              <w:left w:val="nil"/>
              <w:bottom w:val="nil"/>
              <w:right w:val="nil"/>
            </w:tcBorders>
            <w:tcMar>
              <w:top w:w="30" w:type="dxa"/>
              <w:left w:w="80" w:type="dxa"/>
              <w:bottom w:w="30" w:type="dxa"/>
              <w:right w:w="80" w:type="dxa"/>
            </w:tcMar>
          </w:tcPr>
          <w:p w14:paraId="7E9E4D9E" w14:textId="77777777" w:rsidR="0005677F" w:rsidRDefault="0005677F">
            <w:r>
              <w:rPr>
                <w:color w:val="000000"/>
                <w:sz w:val="18"/>
              </w:rPr>
              <w:t>Probability that the process is sustainable</w:t>
            </w:r>
          </w:p>
        </w:tc>
      </w:tr>
      <w:tr w:rsidR="0005677F" w14:paraId="3A507794"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26C6826B" w14:textId="77777777" w:rsidR="0005677F" w:rsidRDefault="0005677F">
            <w:r>
              <w:rPr>
                <w:i/>
                <w:color w:val="000000"/>
                <w:sz w:val="18"/>
              </w:rPr>
              <w:t>Q</w:t>
            </w:r>
          </w:p>
        </w:tc>
        <w:tc>
          <w:tcPr>
            <w:tcW w:w="7200" w:type="dxa"/>
            <w:tcBorders>
              <w:top w:val="nil"/>
              <w:left w:val="nil"/>
              <w:bottom w:val="nil"/>
              <w:right w:val="nil"/>
            </w:tcBorders>
            <w:tcMar>
              <w:top w:w="30" w:type="dxa"/>
              <w:left w:w="80" w:type="dxa"/>
              <w:bottom w:w="30" w:type="dxa"/>
              <w:right w:w="80" w:type="dxa"/>
            </w:tcMar>
          </w:tcPr>
          <w:p w14:paraId="2886113F" w14:textId="77777777" w:rsidR="0005677F" w:rsidRDefault="0005677F">
            <w:r>
              <w:rPr>
                <w:color w:val="000000"/>
                <w:sz w:val="18"/>
              </w:rPr>
              <w:t>Quality score based on ISO 1461 (0 to 100)</w:t>
            </w:r>
          </w:p>
        </w:tc>
      </w:tr>
      <w:tr w:rsidR="0005677F" w14:paraId="36FE41D4"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3C082C80" w14:textId="77777777" w:rsidR="0005677F" w:rsidRDefault="0005677F">
            <w:r>
              <w:rPr>
                <w:i/>
                <w:color w:val="000000"/>
                <w:sz w:val="18"/>
              </w:rPr>
              <w:t>s</w:t>
            </w:r>
          </w:p>
        </w:tc>
        <w:tc>
          <w:tcPr>
            <w:tcW w:w="7200" w:type="dxa"/>
            <w:tcBorders>
              <w:top w:val="nil"/>
              <w:left w:val="nil"/>
              <w:bottom w:val="nil"/>
              <w:right w:val="nil"/>
            </w:tcBorders>
            <w:tcMar>
              <w:top w:w="30" w:type="dxa"/>
              <w:left w:w="80" w:type="dxa"/>
              <w:bottom w:w="30" w:type="dxa"/>
              <w:right w:w="80" w:type="dxa"/>
            </w:tcMar>
          </w:tcPr>
          <w:p w14:paraId="20A00C22" w14:textId="77777777" w:rsidR="0005677F" w:rsidRDefault="0005677F">
            <w:r>
              <w:rPr>
                <w:color w:val="000000"/>
                <w:sz w:val="18"/>
              </w:rPr>
              <w:t>Index of the pieces</w:t>
            </w:r>
          </w:p>
        </w:tc>
      </w:tr>
      <w:tr w:rsidR="00227590" w14:paraId="12EDD49F"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689A7AB3" w14:textId="6096A274" w:rsidR="00227590" w:rsidRDefault="00227590">
            <w:pPr>
              <w:rPr>
                <w:i/>
                <w:color w:val="000000"/>
                <w:sz w:val="18"/>
              </w:rPr>
            </w:pPr>
            <w:proofErr w:type="gramStart"/>
            <w:r w:rsidRPr="00227590">
              <w:rPr>
                <w:i/>
                <w:color w:val="000000"/>
                <w:sz w:val="18"/>
              </w:rPr>
              <w:t>U</w:t>
            </w:r>
            <w:r w:rsidRPr="00227590">
              <w:rPr>
                <w:color w:val="000000"/>
                <w:sz w:val="18"/>
              </w:rPr>
              <w:t>(</w:t>
            </w:r>
            <w:proofErr w:type="gramEnd"/>
            <w:r w:rsidRPr="00227590">
              <w:rPr>
                <w:i/>
                <w:color w:val="000000"/>
                <w:sz w:val="18"/>
              </w:rPr>
              <w:t>a</w:t>
            </w:r>
            <w:r w:rsidRPr="00227590">
              <w:rPr>
                <w:color w:val="000000"/>
                <w:sz w:val="18"/>
              </w:rPr>
              <w:t xml:space="preserve">, </w:t>
            </w:r>
            <w:r w:rsidRPr="00227590">
              <w:rPr>
                <w:i/>
                <w:color w:val="000000"/>
                <w:sz w:val="18"/>
              </w:rPr>
              <w:t>b</w:t>
            </w:r>
            <w:r w:rsidRPr="00227590">
              <w:rPr>
                <w:color w:val="000000"/>
                <w:sz w:val="18"/>
              </w:rPr>
              <w:t>)</w:t>
            </w:r>
          </w:p>
        </w:tc>
        <w:tc>
          <w:tcPr>
            <w:tcW w:w="7200" w:type="dxa"/>
            <w:tcBorders>
              <w:top w:val="nil"/>
              <w:left w:val="nil"/>
              <w:bottom w:val="nil"/>
              <w:right w:val="nil"/>
            </w:tcBorders>
            <w:tcMar>
              <w:top w:w="30" w:type="dxa"/>
              <w:left w:w="80" w:type="dxa"/>
              <w:bottom w:w="30" w:type="dxa"/>
              <w:right w:w="80" w:type="dxa"/>
            </w:tcMar>
          </w:tcPr>
          <w:p w14:paraId="096215DF" w14:textId="5F1A77DC" w:rsidR="00227590" w:rsidRDefault="00227590">
            <w:pPr>
              <w:rPr>
                <w:color w:val="000000"/>
                <w:sz w:val="18"/>
              </w:rPr>
            </w:pPr>
            <w:r w:rsidRPr="00227590">
              <w:rPr>
                <w:color w:val="000000"/>
                <w:sz w:val="18"/>
              </w:rPr>
              <w:t xml:space="preserve">Uniform distribution between </w:t>
            </w:r>
            <w:r w:rsidRPr="00227590">
              <w:rPr>
                <w:i/>
                <w:color w:val="000000"/>
                <w:sz w:val="18"/>
              </w:rPr>
              <w:t>a</w:t>
            </w:r>
            <w:r w:rsidRPr="00227590">
              <w:rPr>
                <w:color w:val="000000"/>
                <w:sz w:val="18"/>
              </w:rPr>
              <w:t xml:space="preserve"> and </w:t>
            </w:r>
            <w:r w:rsidRPr="00227590">
              <w:rPr>
                <w:i/>
                <w:color w:val="000000"/>
                <w:sz w:val="18"/>
              </w:rPr>
              <w:t>b</w:t>
            </w:r>
          </w:p>
        </w:tc>
      </w:tr>
      <w:tr w:rsidR="0005677F" w14:paraId="346E591A"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533034CF" w14:textId="77777777" w:rsidR="0005677F" w:rsidRDefault="0005677F">
            <w:proofErr w:type="spellStart"/>
            <w:r>
              <w:rPr>
                <w:i/>
                <w:color w:val="000000"/>
                <w:sz w:val="18"/>
              </w:rPr>
              <w:t>U</w:t>
            </w:r>
            <w:r>
              <w:rPr>
                <w:color w:val="000000"/>
                <w:sz w:val="18"/>
                <w:vertAlign w:val="subscript"/>
              </w:rPr>
              <w:t>max</w:t>
            </w:r>
            <w:proofErr w:type="spellEnd"/>
          </w:p>
        </w:tc>
        <w:tc>
          <w:tcPr>
            <w:tcW w:w="7200" w:type="dxa"/>
            <w:tcBorders>
              <w:top w:val="nil"/>
              <w:left w:val="nil"/>
              <w:bottom w:val="nil"/>
              <w:right w:val="nil"/>
            </w:tcBorders>
            <w:tcMar>
              <w:top w:w="30" w:type="dxa"/>
              <w:left w:w="80" w:type="dxa"/>
              <w:bottom w:w="30" w:type="dxa"/>
              <w:right w:w="80" w:type="dxa"/>
            </w:tcMar>
          </w:tcPr>
          <w:p w14:paraId="7B66DE62" w14:textId="77777777" w:rsidR="0005677F" w:rsidRDefault="0005677F">
            <w:r>
              <w:rPr>
                <w:color w:val="000000"/>
                <w:sz w:val="18"/>
              </w:rPr>
              <w:t>Maximum process utility (</w:t>
            </w:r>
            <w:r w:rsidRPr="0005677F">
              <w:rPr>
                <w:color w:val="000000"/>
                <w:sz w:val="18"/>
              </w:rPr>
              <w:t>µm</w:t>
            </w:r>
            <w:r>
              <w:rPr>
                <w:color w:val="000000"/>
                <w:sz w:val="18"/>
              </w:rPr>
              <w:t>)</w:t>
            </w:r>
          </w:p>
        </w:tc>
      </w:tr>
      <w:tr w:rsidR="0005677F" w14:paraId="6F8C0B6F"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085D0BE5" w14:textId="77777777" w:rsidR="0005677F" w:rsidRDefault="0005677F">
            <w:r>
              <w:rPr>
                <w:i/>
                <w:color w:val="000000"/>
                <w:sz w:val="18"/>
              </w:rPr>
              <w:t>U</w:t>
            </w:r>
            <w:r>
              <w:rPr>
                <w:color w:val="000000"/>
                <w:sz w:val="18"/>
                <w:vertAlign w:val="subscript"/>
              </w:rPr>
              <w:t>P</w:t>
            </w:r>
          </w:p>
        </w:tc>
        <w:tc>
          <w:tcPr>
            <w:tcW w:w="7200" w:type="dxa"/>
            <w:tcBorders>
              <w:top w:val="nil"/>
              <w:left w:val="nil"/>
              <w:bottom w:val="nil"/>
              <w:right w:val="nil"/>
            </w:tcBorders>
            <w:tcMar>
              <w:top w:w="30" w:type="dxa"/>
              <w:left w:w="80" w:type="dxa"/>
              <w:bottom w:w="30" w:type="dxa"/>
              <w:right w:w="80" w:type="dxa"/>
            </w:tcMar>
          </w:tcPr>
          <w:p w14:paraId="749E14AC" w14:textId="77777777" w:rsidR="0005677F" w:rsidRDefault="0005677F">
            <w:r>
              <w:rPr>
                <w:color w:val="000000"/>
                <w:sz w:val="18"/>
              </w:rPr>
              <w:t>Additive sustainability utility of the process (</w:t>
            </w:r>
            <w:r w:rsidRPr="0005677F">
              <w:rPr>
                <w:color w:val="000000"/>
                <w:sz w:val="18"/>
              </w:rPr>
              <w:t>µm</w:t>
            </w:r>
            <w:r>
              <w:rPr>
                <w:color w:val="000000"/>
                <w:sz w:val="18"/>
              </w:rPr>
              <w:t>)</w:t>
            </w:r>
          </w:p>
        </w:tc>
      </w:tr>
      <w:tr w:rsidR="0005677F" w14:paraId="0A975CD5"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6A9F9264" w14:textId="77777777" w:rsidR="0005677F" w:rsidRDefault="0005677F">
            <w:proofErr w:type="spellStart"/>
            <w:r>
              <w:rPr>
                <w:i/>
                <w:color w:val="000000"/>
                <w:sz w:val="18"/>
              </w:rPr>
              <w:t>V</w:t>
            </w:r>
            <w:r>
              <w:rPr>
                <w:color w:val="000000"/>
                <w:sz w:val="18"/>
                <w:vertAlign w:val="subscript"/>
              </w:rPr>
              <w:t>l</w:t>
            </w:r>
            <w:proofErr w:type="spellEnd"/>
            <w:r>
              <w:rPr>
                <w:color w:val="000000"/>
                <w:sz w:val="18"/>
                <w:vertAlign w:val="subscript"/>
              </w:rPr>
              <w:t>-poll</w:t>
            </w:r>
          </w:p>
        </w:tc>
        <w:tc>
          <w:tcPr>
            <w:tcW w:w="7200" w:type="dxa"/>
            <w:tcBorders>
              <w:top w:val="nil"/>
              <w:left w:val="nil"/>
              <w:bottom w:val="nil"/>
              <w:right w:val="nil"/>
            </w:tcBorders>
            <w:tcMar>
              <w:top w:w="30" w:type="dxa"/>
              <w:left w:w="80" w:type="dxa"/>
              <w:bottom w:w="30" w:type="dxa"/>
              <w:right w:w="80" w:type="dxa"/>
            </w:tcMar>
          </w:tcPr>
          <w:p w14:paraId="06BFE3EB" w14:textId="77777777" w:rsidR="0005677F" w:rsidRDefault="0005677F">
            <w:r>
              <w:rPr>
                <w:color w:val="000000"/>
                <w:sz w:val="18"/>
              </w:rPr>
              <w:t>Annual volume of polluted liquid waste (m</w:t>
            </w:r>
            <w:r>
              <w:rPr>
                <w:color w:val="000000"/>
                <w:sz w:val="18"/>
                <w:vertAlign w:val="superscript"/>
              </w:rPr>
              <w:t>3</w:t>
            </w:r>
            <w:r>
              <w:rPr>
                <w:color w:val="000000"/>
                <w:sz w:val="18"/>
              </w:rPr>
              <w:t>)</w:t>
            </w:r>
          </w:p>
        </w:tc>
      </w:tr>
      <w:tr w:rsidR="0005677F" w14:paraId="4475AF41"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6BD0FC2B" w14:textId="77777777" w:rsidR="0005677F" w:rsidRDefault="0005677F">
            <w:r>
              <w:rPr>
                <w:i/>
                <w:color w:val="000000"/>
                <w:sz w:val="18"/>
              </w:rPr>
              <w:t>V</w:t>
            </w:r>
            <w:r>
              <w:rPr>
                <w:color w:val="000000"/>
                <w:sz w:val="18"/>
                <w:vertAlign w:val="subscript"/>
              </w:rPr>
              <w:t>WT</w:t>
            </w:r>
          </w:p>
        </w:tc>
        <w:tc>
          <w:tcPr>
            <w:tcW w:w="7200" w:type="dxa"/>
            <w:tcBorders>
              <w:top w:val="nil"/>
              <w:left w:val="nil"/>
              <w:bottom w:val="nil"/>
              <w:right w:val="nil"/>
            </w:tcBorders>
            <w:tcMar>
              <w:top w:w="30" w:type="dxa"/>
              <w:left w:w="80" w:type="dxa"/>
              <w:bottom w:w="30" w:type="dxa"/>
              <w:right w:w="80" w:type="dxa"/>
            </w:tcMar>
          </w:tcPr>
          <w:p w14:paraId="4B66DE94" w14:textId="77777777" w:rsidR="0005677F" w:rsidRDefault="0005677F">
            <w:r>
              <w:rPr>
                <w:color w:val="000000"/>
                <w:sz w:val="18"/>
              </w:rPr>
              <w:t>Annual water consumption (m</w:t>
            </w:r>
            <w:r>
              <w:rPr>
                <w:color w:val="000000"/>
                <w:sz w:val="18"/>
                <w:vertAlign w:val="superscript"/>
              </w:rPr>
              <w:t>3</w:t>
            </w:r>
            <w:r>
              <w:rPr>
                <w:color w:val="000000"/>
                <w:sz w:val="18"/>
              </w:rPr>
              <w:t>)</w:t>
            </w:r>
          </w:p>
        </w:tc>
      </w:tr>
      <w:tr w:rsidR="0005677F" w14:paraId="3F6A9C2A"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71D12222" w14:textId="77777777" w:rsidR="0005677F" w:rsidRDefault="0005677F">
            <w:proofErr w:type="spellStart"/>
            <w:r>
              <w:rPr>
                <w:i/>
                <w:color w:val="000000"/>
                <w:sz w:val="18"/>
              </w:rPr>
              <w:lastRenderedPageBreak/>
              <w:t>W</w:t>
            </w:r>
            <w:r>
              <w:rPr>
                <w:color w:val="000000"/>
                <w:sz w:val="18"/>
                <w:vertAlign w:val="subscript"/>
              </w:rPr>
              <w:t>k</w:t>
            </w:r>
            <w:proofErr w:type="spellEnd"/>
          </w:p>
        </w:tc>
        <w:tc>
          <w:tcPr>
            <w:tcW w:w="7200" w:type="dxa"/>
            <w:tcBorders>
              <w:top w:val="nil"/>
              <w:left w:val="nil"/>
              <w:bottom w:val="nil"/>
              <w:right w:val="nil"/>
            </w:tcBorders>
            <w:tcMar>
              <w:top w:w="30" w:type="dxa"/>
              <w:left w:w="80" w:type="dxa"/>
              <w:bottom w:w="30" w:type="dxa"/>
              <w:right w:w="80" w:type="dxa"/>
            </w:tcMar>
          </w:tcPr>
          <w:p w14:paraId="7F17642A" w14:textId="77777777" w:rsidR="0005677F" w:rsidRDefault="0005677F">
            <w:r>
              <w:rPr>
                <w:color w:val="000000"/>
                <w:sz w:val="18"/>
              </w:rPr>
              <w:t xml:space="preserve">Weight of objective </w:t>
            </w:r>
            <w:r>
              <w:rPr>
                <w:i/>
                <w:color w:val="000000"/>
                <w:sz w:val="18"/>
              </w:rPr>
              <w:t>k</w:t>
            </w:r>
            <w:r>
              <w:rPr>
                <w:color w:val="000000"/>
                <w:sz w:val="18"/>
              </w:rPr>
              <w:t xml:space="preserve"> in the compromise selection</w:t>
            </w:r>
          </w:p>
        </w:tc>
      </w:tr>
      <w:tr w:rsidR="0005677F" w14:paraId="334129E0"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77F5C94D" w14:textId="77777777" w:rsidR="0005677F" w:rsidRDefault="0005677F">
            <w:r>
              <w:rPr>
                <w:i/>
                <w:color w:val="000000"/>
                <w:sz w:val="18"/>
              </w:rPr>
              <w:t>x</w:t>
            </w:r>
          </w:p>
        </w:tc>
        <w:tc>
          <w:tcPr>
            <w:tcW w:w="7200" w:type="dxa"/>
            <w:tcBorders>
              <w:top w:val="nil"/>
              <w:left w:val="nil"/>
              <w:bottom w:val="nil"/>
              <w:right w:val="nil"/>
            </w:tcBorders>
            <w:tcMar>
              <w:top w:w="30" w:type="dxa"/>
              <w:left w:w="80" w:type="dxa"/>
              <w:bottom w:w="30" w:type="dxa"/>
              <w:right w:w="80" w:type="dxa"/>
            </w:tcMar>
          </w:tcPr>
          <w:p w14:paraId="2B388B35" w14:textId="77777777" w:rsidR="0005677F" w:rsidRDefault="0005677F">
            <w:r>
              <w:rPr>
                <w:color w:val="000000"/>
                <w:sz w:val="18"/>
              </w:rPr>
              <w:t>Decision vector (</w:t>
            </w:r>
            <w:r>
              <w:rPr>
                <w:i/>
                <w:color w:val="000000"/>
                <w:sz w:val="18"/>
              </w:rPr>
              <w:t>x</w:t>
            </w:r>
            <w:r>
              <w:rPr>
                <w:color w:val="000000"/>
                <w:sz w:val="18"/>
                <w:vertAlign w:val="subscript"/>
              </w:rPr>
              <w:t>1</w:t>
            </w:r>
            <w:r>
              <w:rPr>
                <w:color w:val="000000"/>
                <w:sz w:val="18"/>
              </w:rPr>
              <w:t xml:space="preserve"> to </w:t>
            </w:r>
            <w:r>
              <w:rPr>
                <w:i/>
                <w:color w:val="000000"/>
                <w:sz w:val="18"/>
              </w:rPr>
              <w:t>x</w:t>
            </w:r>
            <w:r>
              <w:rPr>
                <w:color w:val="000000"/>
                <w:sz w:val="18"/>
                <w:vertAlign w:val="subscript"/>
              </w:rPr>
              <w:t>7</w:t>
            </w:r>
            <w:r>
              <w:rPr>
                <w:color w:val="000000"/>
                <w:sz w:val="18"/>
              </w:rPr>
              <w:t>, Table 2)</w:t>
            </w:r>
          </w:p>
        </w:tc>
      </w:tr>
      <w:tr w:rsidR="0005677F" w14:paraId="7FEFB6E0"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65F04400" w14:textId="77777777" w:rsidR="0005677F" w:rsidRDefault="0005677F">
            <w:proofErr w:type="spellStart"/>
            <w:proofErr w:type="gramStart"/>
            <w:r>
              <w:rPr>
                <w:i/>
                <w:color w:val="000000"/>
                <w:sz w:val="18"/>
              </w:rPr>
              <w:t>x</w:t>
            </w:r>
            <w:r>
              <w:rPr>
                <w:color w:val="000000"/>
                <w:sz w:val="18"/>
                <w:vertAlign w:val="subscript"/>
              </w:rPr>
              <w:t>i,j</w:t>
            </w:r>
            <w:proofErr w:type="spellEnd"/>
            <w:proofErr w:type="gramEnd"/>
          </w:p>
        </w:tc>
        <w:tc>
          <w:tcPr>
            <w:tcW w:w="7200" w:type="dxa"/>
            <w:tcBorders>
              <w:top w:val="nil"/>
              <w:left w:val="nil"/>
              <w:bottom w:val="nil"/>
              <w:right w:val="nil"/>
            </w:tcBorders>
            <w:tcMar>
              <w:top w:w="30" w:type="dxa"/>
              <w:left w:w="80" w:type="dxa"/>
              <w:bottom w:w="30" w:type="dxa"/>
              <w:right w:w="80" w:type="dxa"/>
            </w:tcMar>
          </w:tcPr>
          <w:p w14:paraId="4D6D94BB" w14:textId="77777777" w:rsidR="0005677F" w:rsidRDefault="0005677F">
            <w:r>
              <w:rPr>
                <w:color w:val="000000"/>
                <w:sz w:val="18"/>
              </w:rPr>
              <w:t xml:space="preserve">Value of indicator </w:t>
            </w:r>
            <w:proofErr w:type="spellStart"/>
            <w:r>
              <w:rPr>
                <w:i/>
                <w:color w:val="000000"/>
                <w:sz w:val="18"/>
              </w:rPr>
              <w:t>i</w:t>
            </w:r>
            <w:proofErr w:type="spellEnd"/>
            <w:r>
              <w:rPr>
                <w:color w:val="000000"/>
                <w:sz w:val="18"/>
              </w:rPr>
              <w:t xml:space="preserve"> in unit process </w:t>
            </w:r>
            <w:r>
              <w:rPr>
                <w:i/>
                <w:color w:val="000000"/>
                <w:sz w:val="18"/>
              </w:rPr>
              <w:t>j</w:t>
            </w:r>
          </w:p>
        </w:tc>
      </w:tr>
      <w:tr w:rsidR="0005677F" w14:paraId="1B06E20C"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2A47B3A0" w14:textId="77777777" w:rsidR="0005677F" w:rsidRDefault="0005677F">
            <w:proofErr w:type="spellStart"/>
            <w:proofErr w:type="gramStart"/>
            <w:r>
              <w:rPr>
                <w:i/>
                <w:color w:val="000000"/>
                <w:sz w:val="18"/>
              </w:rPr>
              <w:t>x</w:t>
            </w:r>
            <w:r>
              <w:rPr>
                <w:color w:val="000000"/>
                <w:sz w:val="18"/>
                <w:vertAlign w:val="subscript"/>
              </w:rPr>
              <w:t>best,i</w:t>
            </w:r>
            <w:proofErr w:type="gramEnd"/>
            <w:r>
              <w:rPr>
                <w:color w:val="000000"/>
                <w:sz w:val="18"/>
                <w:vertAlign w:val="subscript"/>
              </w:rPr>
              <w:t>,j</w:t>
            </w:r>
            <w:proofErr w:type="spellEnd"/>
            <w:r>
              <w:rPr>
                <w:color w:val="000000"/>
                <w:sz w:val="18"/>
              </w:rPr>
              <w:t xml:space="preserve">, </w:t>
            </w:r>
            <w:proofErr w:type="spellStart"/>
            <w:proofErr w:type="gramStart"/>
            <w:r>
              <w:rPr>
                <w:i/>
                <w:color w:val="000000"/>
                <w:sz w:val="18"/>
              </w:rPr>
              <w:t>x</w:t>
            </w:r>
            <w:r>
              <w:rPr>
                <w:color w:val="000000"/>
                <w:sz w:val="18"/>
                <w:vertAlign w:val="subscript"/>
              </w:rPr>
              <w:t>worst,i</w:t>
            </w:r>
            <w:proofErr w:type="gramEnd"/>
            <w:r>
              <w:rPr>
                <w:color w:val="000000"/>
                <w:sz w:val="18"/>
                <w:vertAlign w:val="subscript"/>
              </w:rPr>
              <w:t>,j</w:t>
            </w:r>
            <w:proofErr w:type="spellEnd"/>
          </w:p>
        </w:tc>
        <w:tc>
          <w:tcPr>
            <w:tcW w:w="7200" w:type="dxa"/>
            <w:tcBorders>
              <w:top w:val="nil"/>
              <w:left w:val="nil"/>
              <w:bottom w:val="nil"/>
              <w:right w:val="nil"/>
            </w:tcBorders>
            <w:tcMar>
              <w:top w:w="30" w:type="dxa"/>
              <w:left w:w="80" w:type="dxa"/>
              <w:bottom w:w="30" w:type="dxa"/>
              <w:right w:w="80" w:type="dxa"/>
            </w:tcMar>
          </w:tcPr>
          <w:p w14:paraId="1BC2CB88" w14:textId="77777777" w:rsidR="0005677F" w:rsidRDefault="0005677F">
            <w:r>
              <w:rPr>
                <w:color w:val="000000"/>
                <w:sz w:val="18"/>
              </w:rPr>
              <w:t xml:space="preserve">Best and worst reference values of indicator </w:t>
            </w:r>
            <w:proofErr w:type="spellStart"/>
            <w:r>
              <w:rPr>
                <w:i/>
                <w:color w:val="000000"/>
                <w:sz w:val="18"/>
              </w:rPr>
              <w:t>i</w:t>
            </w:r>
            <w:proofErr w:type="spellEnd"/>
            <w:r>
              <w:rPr>
                <w:color w:val="000000"/>
                <w:sz w:val="18"/>
              </w:rPr>
              <w:t xml:space="preserve"> in unit process </w:t>
            </w:r>
            <w:r>
              <w:rPr>
                <w:i/>
                <w:color w:val="000000"/>
                <w:sz w:val="18"/>
              </w:rPr>
              <w:t>j</w:t>
            </w:r>
          </w:p>
        </w:tc>
      </w:tr>
      <w:tr w:rsidR="0005677F" w14:paraId="5D752556"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721A9E54" w14:textId="77777777" w:rsidR="0005677F" w:rsidRDefault="0005677F">
            <w:proofErr w:type="spellStart"/>
            <w:r>
              <w:rPr>
                <w:i/>
                <w:color w:val="000000"/>
                <w:sz w:val="18"/>
              </w:rPr>
              <w:t>x̄</w:t>
            </w:r>
            <w:r>
              <w:rPr>
                <w:color w:val="000000"/>
                <w:sz w:val="18"/>
                <w:vertAlign w:val="subscript"/>
              </w:rPr>
              <w:t>std</w:t>
            </w:r>
            <w:proofErr w:type="spellEnd"/>
          </w:p>
        </w:tc>
        <w:tc>
          <w:tcPr>
            <w:tcW w:w="7200" w:type="dxa"/>
            <w:tcBorders>
              <w:top w:val="nil"/>
              <w:left w:val="nil"/>
              <w:bottom w:val="nil"/>
              <w:right w:val="nil"/>
            </w:tcBorders>
            <w:tcMar>
              <w:top w:w="30" w:type="dxa"/>
              <w:left w:w="80" w:type="dxa"/>
              <w:bottom w:w="30" w:type="dxa"/>
              <w:right w:w="80" w:type="dxa"/>
            </w:tcMar>
          </w:tcPr>
          <w:p w14:paraId="0238F0A9" w14:textId="77777777" w:rsidR="0005677F" w:rsidRDefault="0005677F">
            <w:r>
              <w:rPr>
                <w:color w:val="000000"/>
                <w:sz w:val="18"/>
              </w:rPr>
              <w:t>Mean coating thickness required by ISO 1461 over the pieces of the year (</w:t>
            </w:r>
            <w:r w:rsidRPr="0005677F">
              <w:rPr>
                <w:color w:val="000000"/>
                <w:sz w:val="18"/>
              </w:rPr>
              <w:t>µm</w:t>
            </w:r>
            <w:r>
              <w:rPr>
                <w:color w:val="000000"/>
                <w:sz w:val="18"/>
              </w:rPr>
              <w:t>)</w:t>
            </w:r>
          </w:p>
        </w:tc>
      </w:tr>
      <w:tr w:rsidR="00227590" w14:paraId="669540C8"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45FCF519" w14:textId="15752AA9" w:rsidR="00227590" w:rsidRDefault="00227590">
            <w:pPr>
              <w:rPr>
                <w:i/>
                <w:color w:val="000000"/>
                <w:sz w:val="18"/>
              </w:rPr>
            </w:pPr>
            <w:r w:rsidRPr="00227590">
              <w:rPr>
                <w:i/>
                <w:color w:val="000000"/>
                <w:sz w:val="18"/>
              </w:rPr>
              <w:t>δ</w:t>
            </w:r>
          </w:p>
        </w:tc>
        <w:tc>
          <w:tcPr>
            <w:tcW w:w="7200" w:type="dxa"/>
            <w:tcBorders>
              <w:top w:val="nil"/>
              <w:left w:val="nil"/>
              <w:bottom w:val="nil"/>
              <w:right w:val="nil"/>
            </w:tcBorders>
            <w:tcMar>
              <w:top w:w="30" w:type="dxa"/>
              <w:left w:w="80" w:type="dxa"/>
              <w:bottom w:w="30" w:type="dxa"/>
              <w:right w:w="80" w:type="dxa"/>
            </w:tcMar>
          </w:tcPr>
          <w:p w14:paraId="14539C06" w14:textId="4AF252E9" w:rsidR="00227590" w:rsidRDefault="00227590">
            <w:pPr>
              <w:rPr>
                <w:color w:val="000000"/>
                <w:sz w:val="18"/>
              </w:rPr>
            </w:pPr>
            <w:r w:rsidRPr="00227590">
              <w:rPr>
                <w:color w:val="000000"/>
                <w:sz w:val="18"/>
              </w:rPr>
              <w:t>Coating thickness (µm)</w:t>
            </w:r>
          </w:p>
        </w:tc>
      </w:tr>
      <w:tr w:rsidR="0005677F" w14:paraId="69D3AECE"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722638F2" w14:textId="77777777" w:rsidR="0005677F" w:rsidRDefault="0005677F">
            <w:proofErr w:type="spellStart"/>
            <w:r>
              <w:rPr>
                <w:i/>
                <w:color w:val="000000"/>
                <w:sz w:val="18"/>
              </w:rPr>
              <w:t>δ</w:t>
            </w:r>
            <w:r>
              <w:rPr>
                <w:color w:val="000000"/>
                <w:sz w:val="18"/>
                <w:vertAlign w:val="subscript"/>
              </w:rPr>
              <w:t>s</w:t>
            </w:r>
            <w:proofErr w:type="spellEnd"/>
          </w:p>
        </w:tc>
        <w:tc>
          <w:tcPr>
            <w:tcW w:w="7200" w:type="dxa"/>
            <w:tcBorders>
              <w:top w:val="nil"/>
              <w:left w:val="nil"/>
              <w:bottom w:val="nil"/>
              <w:right w:val="nil"/>
            </w:tcBorders>
            <w:tcMar>
              <w:top w:w="30" w:type="dxa"/>
              <w:left w:w="80" w:type="dxa"/>
              <w:bottom w:w="30" w:type="dxa"/>
              <w:right w:w="80" w:type="dxa"/>
            </w:tcMar>
          </w:tcPr>
          <w:p w14:paraId="3F63918D" w14:textId="77777777" w:rsidR="0005677F" w:rsidRDefault="0005677F">
            <w:r>
              <w:rPr>
                <w:color w:val="000000"/>
                <w:sz w:val="18"/>
              </w:rPr>
              <w:t xml:space="preserve">Coating thickness of piece </w:t>
            </w:r>
            <w:r>
              <w:rPr>
                <w:i/>
                <w:color w:val="000000"/>
                <w:sz w:val="18"/>
              </w:rPr>
              <w:t>s</w:t>
            </w:r>
            <w:r>
              <w:rPr>
                <w:color w:val="000000"/>
                <w:sz w:val="18"/>
              </w:rPr>
              <w:t xml:space="preserve"> (</w:t>
            </w:r>
            <w:r w:rsidRPr="0005677F">
              <w:rPr>
                <w:color w:val="000000"/>
                <w:sz w:val="18"/>
              </w:rPr>
              <w:t>µm</w:t>
            </w:r>
            <w:r>
              <w:rPr>
                <w:color w:val="000000"/>
                <w:sz w:val="18"/>
              </w:rPr>
              <w:t>)</w:t>
            </w:r>
          </w:p>
        </w:tc>
      </w:tr>
      <w:tr w:rsidR="0005677F" w14:paraId="30A0363D"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78E5F3D8" w14:textId="77777777" w:rsidR="0005677F" w:rsidRDefault="0005677F">
            <w:proofErr w:type="spellStart"/>
            <w:r>
              <w:rPr>
                <w:i/>
                <w:color w:val="000000"/>
                <w:sz w:val="18"/>
              </w:rPr>
              <w:t>δ</w:t>
            </w:r>
            <w:proofErr w:type="gramStart"/>
            <w:r>
              <w:rPr>
                <w:color w:val="000000"/>
                <w:sz w:val="18"/>
                <w:vertAlign w:val="subscript"/>
              </w:rPr>
              <w:t>ISO,s</w:t>
            </w:r>
            <w:proofErr w:type="spellEnd"/>
            <w:proofErr w:type="gramEnd"/>
          </w:p>
        </w:tc>
        <w:tc>
          <w:tcPr>
            <w:tcW w:w="7200" w:type="dxa"/>
            <w:tcBorders>
              <w:top w:val="nil"/>
              <w:left w:val="nil"/>
              <w:bottom w:val="nil"/>
              <w:right w:val="nil"/>
            </w:tcBorders>
            <w:tcMar>
              <w:top w:w="30" w:type="dxa"/>
              <w:left w:w="80" w:type="dxa"/>
              <w:bottom w:w="30" w:type="dxa"/>
              <w:right w:w="80" w:type="dxa"/>
            </w:tcMar>
          </w:tcPr>
          <w:p w14:paraId="28C88B99" w14:textId="77777777" w:rsidR="0005677F" w:rsidRDefault="0005677F">
            <w:r>
              <w:rPr>
                <w:color w:val="000000"/>
                <w:sz w:val="18"/>
              </w:rPr>
              <w:t xml:space="preserve">Coating thickness required by ISO 1461 for the gauge of piece </w:t>
            </w:r>
            <w:r>
              <w:rPr>
                <w:i/>
                <w:color w:val="000000"/>
                <w:sz w:val="18"/>
              </w:rPr>
              <w:t>s</w:t>
            </w:r>
            <w:r>
              <w:rPr>
                <w:color w:val="000000"/>
                <w:sz w:val="18"/>
              </w:rPr>
              <w:t xml:space="preserve"> (</w:t>
            </w:r>
            <w:r w:rsidRPr="0005677F">
              <w:rPr>
                <w:color w:val="000000"/>
                <w:sz w:val="18"/>
              </w:rPr>
              <w:t>µm</w:t>
            </w:r>
            <w:r>
              <w:rPr>
                <w:color w:val="000000"/>
                <w:sz w:val="18"/>
              </w:rPr>
              <w:t>)</w:t>
            </w:r>
          </w:p>
        </w:tc>
      </w:tr>
      <w:tr w:rsidR="0005677F" w14:paraId="52F34FE9"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0D4D8AD8" w14:textId="77777777" w:rsidR="0005677F" w:rsidRDefault="0005677F">
            <w:proofErr w:type="spellStart"/>
            <w:r>
              <w:rPr>
                <w:i/>
                <w:color w:val="000000"/>
                <w:sz w:val="18"/>
              </w:rPr>
              <w:t>λ</w:t>
            </w:r>
            <w:r>
              <w:rPr>
                <w:color w:val="000000"/>
                <w:sz w:val="18"/>
                <w:vertAlign w:val="subscript"/>
              </w:rPr>
              <w:t>i</w:t>
            </w:r>
            <w:proofErr w:type="spellEnd"/>
          </w:p>
        </w:tc>
        <w:tc>
          <w:tcPr>
            <w:tcW w:w="7200" w:type="dxa"/>
            <w:tcBorders>
              <w:top w:val="nil"/>
              <w:left w:val="nil"/>
              <w:bottom w:val="nil"/>
              <w:right w:val="nil"/>
            </w:tcBorders>
            <w:tcMar>
              <w:top w:w="30" w:type="dxa"/>
              <w:left w:w="80" w:type="dxa"/>
              <w:bottom w:w="30" w:type="dxa"/>
              <w:right w:w="80" w:type="dxa"/>
            </w:tcMar>
          </w:tcPr>
          <w:p w14:paraId="72D43B49" w14:textId="77777777" w:rsidR="0005677F" w:rsidRDefault="0005677F">
            <w:r>
              <w:rPr>
                <w:color w:val="000000"/>
                <w:sz w:val="18"/>
              </w:rPr>
              <w:t xml:space="preserve">Relative weight of indicator </w:t>
            </w:r>
            <w:proofErr w:type="spellStart"/>
            <w:r>
              <w:rPr>
                <w:i/>
                <w:color w:val="000000"/>
                <w:sz w:val="18"/>
              </w:rPr>
              <w:t>i</w:t>
            </w:r>
            <w:proofErr w:type="spellEnd"/>
          </w:p>
        </w:tc>
      </w:tr>
      <w:tr w:rsidR="0005677F" w14:paraId="714B876D"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5B4D892A" w14:textId="77777777" w:rsidR="0005677F" w:rsidRDefault="0005677F">
            <w:proofErr w:type="spellStart"/>
            <w:r>
              <w:rPr>
                <w:i/>
                <w:color w:val="000000"/>
                <w:sz w:val="18"/>
              </w:rPr>
              <w:t>λ</w:t>
            </w:r>
            <w:r>
              <w:rPr>
                <w:color w:val="000000"/>
                <w:sz w:val="18"/>
                <w:vertAlign w:val="subscript"/>
              </w:rPr>
              <w:t>Q</w:t>
            </w:r>
            <w:proofErr w:type="spellEnd"/>
          </w:p>
        </w:tc>
        <w:tc>
          <w:tcPr>
            <w:tcW w:w="7200" w:type="dxa"/>
            <w:tcBorders>
              <w:top w:val="nil"/>
              <w:left w:val="nil"/>
              <w:bottom w:val="nil"/>
              <w:right w:val="nil"/>
            </w:tcBorders>
            <w:tcMar>
              <w:top w:w="30" w:type="dxa"/>
              <w:left w:w="80" w:type="dxa"/>
              <w:bottom w:w="30" w:type="dxa"/>
              <w:right w:w="80" w:type="dxa"/>
            </w:tcMar>
          </w:tcPr>
          <w:p w14:paraId="48940333" w14:textId="77777777" w:rsidR="0005677F" w:rsidRDefault="0005677F">
            <w:r>
              <w:rPr>
                <w:color w:val="000000"/>
                <w:sz w:val="18"/>
              </w:rPr>
              <w:t>Weight of the quality category</w:t>
            </w:r>
          </w:p>
        </w:tc>
      </w:tr>
      <w:tr w:rsidR="0005677F" w14:paraId="386050CC"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799760DF" w14:textId="77777777" w:rsidR="0005677F" w:rsidRDefault="0005677F">
            <w:proofErr w:type="spellStart"/>
            <w:r>
              <w:rPr>
                <w:i/>
                <w:color w:val="000000"/>
                <w:sz w:val="18"/>
              </w:rPr>
              <w:t>μ</w:t>
            </w:r>
            <w:r>
              <w:rPr>
                <w:color w:val="000000"/>
                <w:sz w:val="18"/>
                <w:vertAlign w:val="subscript"/>
              </w:rPr>
              <w:t>k</w:t>
            </w:r>
            <w:proofErr w:type="spellEnd"/>
            <w:r>
              <w:rPr>
                <w:color w:val="000000"/>
                <w:sz w:val="18"/>
              </w:rPr>
              <w:t>(</w:t>
            </w:r>
            <w:r>
              <w:rPr>
                <w:i/>
                <w:color w:val="000000"/>
                <w:sz w:val="18"/>
              </w:rPr>
              <w:t>x</w:t>
            </w:r>
            <w:r>
              <w:rPr>
                <w:color w:val="000000"/>
                <w:sz w:val="18"/>
              </w:rPr>
              <w:t>)</w:t>
            </w:r>
          </w:p>
        </w:tc>
        <w:tc>
          <w:tcPr>
            <w:tcW w:w="7200" w:type="dxa"/>
            <w:tcBorders>
              <w:top w:val="nil"/>
              <w:left w:val="nil"/>
              <w:bottom w:val="nil"/>
              <w:right w:val="nil"/>
            </w:tcBorders>
            <w:tcMar>
              <w:top w:w="30" w:type="dxa"/>
              <w:left w:w="80" w:type="dxa"/>
              <w:bottom w:w="30" w:type="dxa"/>
              <w:right w:w="80" w:type="dxa"/>
            </w:tcMar>
          </w:tcPr>
          <w:p w14:paraId="3F6C4A04" w14:textId="77777777" w:rsidR="0005677F" w:rsidRDefault="0005677F">
            <w:r>
              <w:rPr>
                <w:color w:val="000000"/>
                <w:sz w:val="18"/>
              </w:rPr>
              <w:t xml:space="preserve">Fuzzy satisfaction membership of objective </w:t>
            </w:r>
            <w:r>
              <w:rPr>
                <w:i/>
                <w:color w:val="000000"/>
                <w:sz w:val="18"/>
              </w:rPr>
              <w:t>k</w:t>
            </w:r>
          </w:p>
        </w:tc>
      </w:tr>
      <w:tr w:rsidR="0005677F" w14:paraId="3D9FB1E6" w14:textId="77777777" w:rsidTr="00992909">
        <w:tblPrEx>
          <w:tblCellMar>
            <w:top w:w="0" w:type="dxa"/>
            <w:bottom w:w="0" w:type="dxa"/>
          </w:tblCellMar>
        </w:tblPrEx>
        <w:trPr>
          <w:cantSplit/>
          <w:jc w:val="center"/>
        </w:trPr>
        <w:tc>
          <w:tcPr>
            <w:tcW w:w="2160" w:type="dxa"/>
            <w:tcBorders>
              <w:top w:val="nil"/>
              <w:left w:val="nil"/>
              <w:bottom w:val="nil"/>
              <w:right w:val="nil"/>
            </w:tcBorders>
            <w:tcMar>
              <w:top w:w="30" w:type="dxa"/>
              <w:left w:w="80" w:type="dxa"/>
              <w:bottom w:w="30" w:type="dxa"/>
              <w:right w:w="80" w:type="dxa"/>
            </w:tcMar>
          </w:tcPr>
          <w:p w14:paraId="620877AD" w14:textId="77777777" w:rsidR="0005677F" w:rsidRDefault="0005677F">
            <w:proofErr w:type="spellStart"/>
            <w:r>
              <w:rPr>
                <w:i/>
                <w:color w:val="000000"/>
                <w:sz w:val="18"/>
              </w:rPr>
              <w:t>μ</w:t>
            </w:r>
            <w:r>
              <w:rPr>
                <w:color w:val="000000"/>
                <w:sz w:val="18"/>
                <w:vertAlign w:val="subscript"/>
              </w:rPr>
              <w:t>overall</w:t>
            </w:r>
            <w:proofErr w:type="spellEnd"/>
            <w:r>
              <w:rPr>
                <w:color w:val="000000"/>
                <w:sz w:val="18"/>
              </w:rPr>
              <w:t>(</w:t>
            </w:r>
            <w:r>
              <w:rPr>
                <w:i/>
                <w:color w:val="000000"/>
                <w:sz w:val="18"/>
              </w:rPr>
              <w:t>x</w:t>
            </w:r>
            <w:r>
              <w:rPr>
                <w:color w:val="000000"/>
                <w:sz w:val="18"/>
              </w:rPr>
              <w:t>)</w:t>
            </w:r>
          </w:p>
        </w:tc>
        <w:tc>
          <w:tcPr>
            <w:tcW w:w="7200" w:type="dxa"/>
            <w:tcBorders>
              <w:top w:val="nil"/>
              <w:left w:val="nil"/>
              <w:bottom w:val="nil"/>
              <w:right w:val="nil"/>
            </w:tcBorders>
            <w:tcMar>
              <w:top w:w="30" w:type="dxa"/>
              <w:left w:w="80" w:type="dxa"/>
              <w:bottom w:w="30" w:type="dxa"/>
              <w:right w:w="80" w:type="dxa"/>
            </w:tcMar>
          </w:tcPr>
          <w:p w14:paraId="79E41251" w14:textId="77777777" w:rsidR="0005677F" w:rsidRDefault="0005677F">
            <w:r>
              <w:rPr>
                <w:color w:val="000000"/>
                <w:sz w:val="18"/>
              </w:rPr>
              <w:t xml:space="preserve">Weighted additive membership of design </w:t>
            </w:r>
            <w:r>
              <w:rPr>
                <w:i/>
                <w:color w:val="000000"/>
                <w:sz w:val="18"/>
              </w:rPr>
              <w:t>x</w:t>
            </w:r>
          </w:p>
        </w:tc>
      </w:tr>
      <w:tr w:rsidR="0005677F" w14:paraId="2DA2434E" w14:textId="77777777" w:rsidTr="00992909">
        <w:tblPrEx>
          <w:tblCellMar>
            <w:top w:w="0" w:type="dxa"/>
            <w:bottom w:w="0" w:type="dxa"/>
          </w:tblCellMar>
        </w:tblPrEx>
        <w:trPr>
          <w:cantSplit/>
          <w:jc w:val="center"/>
        </w:trPr>
        <w:tc>
          <w:tcPr>
            <w:tcW w:w="2160" w:type="dxa"/>
            <w:tcBorders>
              <w:top w:val="nil"/>
              <w:left w:val="nil"/>
              <w:bottom w:val="single" w:sz="8" w:space="0" w:color="000000"/>
              <w:right w:val="nil"/>
            </w:tcBorders>
            <w:tcMar>
              <w:top w:w="30" w:type="dxa"/>
              <w:left w:w="80" w:type="dxa"/>
              <w:bottom w:w="30" w:type="dxa"/>
              <w:right w:w="80" w:type="dxa"/>
            </w:tcMar>
          </w:tcPr>
          <w:p w14:paraId="3278A3CA" w14:textId="77777777" w:rsidR="0005677F" w:rsidRDefault="0005677F">
            <w:proofErr w:type="spellStart"/>
            <w:r>
              <w:rPr>
                <w:i/>
                <w:color w:val="000000"/>
                <w:sz w:val="18"/>
              </w:rPr>
              <w:t>φ</w:t>
            </w:r>
            <w:r>
              <w:rPr>
                <w:color w:val="000000"/>
                <w:sz w:val="18"/>
                <w:vertAlign w:val="subscript"/>
              </w:rPr>
              <w:t>δ</w:t>
            </w:r>
            <w:proofErr w:type="spellEnd"/>
          </w:p>
        </w:tc>
        <w:tc>
          <w:tcPr>
            <w:tcW w:w="7200" w:type="dxa"/>
            <w:tcBorders>
              <w:top w:val="nil"/>
              <w:left w:val="nil"/>
              <w:bottom w:val="single" w:sz="8" w:space="0" w:color="000000"/>
              <w:right w:val="nil"/>
            </w:tcBorders>
            <w:tcMar>
              <w:top w:w="30" w:type="dxa"/>
              <w:left w:w="80" w:type="dxa"/>
              <w:bottom w:w="30" w:type="dxa"/>
              <w:right w:w="80" w:type="dxa"/>
            </w:tcMar>
          </w:tcPr>
          <w:p w14:paraId="5930510D" w14:textId="77777777" w:rsidR="0005677F" w:rsidRDefault="0005677F">
            <w:r>
              <w:rPr>
                <w:color w:val="000000"/>
                <w:sz w:val="18"/>
              </w:rPr>
              <w:t>Fraction of the pieces of a year whose coating is thinner than required by ISO 1461</w:t>
            </w:r>
          </w:p>
        </w:tc>
      </w:tr>
    </w:tbl>
    <w:p w14:paraId="5BF23A6F" w14:textId="022A5A53" w:rsidR="006569A1" w:rsidRPr="0005677F" w:rsidRDefault="006569A1" w:rsidP="0005677F"/>
    <w:p w14:paraId="5747A755" w14:textId="77777777" w:rsidR="005E603F" w:rsidRDefault="00000000" w:rsidP="00A65127">
      <w:pPr>
        <w:pStyle w:val="Heading1"/>
        <w:numPr>
          <w:ilvl w:val="0"/>
          <w:numId w:val="1"/>
        </w:numPr>
        <w:spacing w:before="0"/>
        <w:ind w:left="0" w:firstLine="0"/>
      </w:pPr>
      <w:bookmarkStart w:id="0" w:name="_RefSec1"/>
      <w:r>
        <w:rPr>
          <w:color w:val="000000"/>
        </w:rPr>
        <w:t>Introduction</w:t>
      </w:r>
      <w:bookmarkEnd w:id="0"/>
    </w:p>
    <w:p w14:paraId="72EB4829" w14:textId="0040F500" w:rsidR="005E603F" w:rsidRDefault="00000000">
      <w:pPr>
        <w:spacing w:line="480" w:lineRule="auto"/>
        <w:ind w:firstLine="720"/>
        <w:jc w:val="both"/>
      </w:pPr>
      <w:r>
        <w:t xml:space="preserve">Steel is the backbone of modern infrastructure, and its main weakness is corrosion. World crude steel production reached 1,882.6 million </w:t>
      </w:r>
      <w:proofErr w:type="spellStart"/>
      <w:r>
        <w:t>tonnes</w:t>
      </w:r>
      <w:proofErr w:type="spellEnd"/>
      <w:r>
        <w:t xml:space="preserve"> in 2024, of which China produced 1,005.1 million </w:t>
      </w:r>
      <w:proofErr w:type="spellStart"/>
      <w:r>
        <w:t>tonnes</w:t>
      </w:r>
      <w:proofErr w:type="spellEnd"/>
      <w:r>
        <w:t xml:space="preserve"> (53%), India 149.6, Japan 84.0, and the United States 79.5 (World Steel Association, 2025). The global cost of corrosion has been estimated at US$2.5 trillion per year, about 3.4% of the global gross domestic product, and applying corrosion management best practices could avoid 15 to 35% of that cost (Koch et al., 2016). Among the available protection methods, hot-dip galvanizing (HDG), which coats steel by immersion in a molten zinc bath at about 450 °C to form a zinc-iron alloy layer, is one of the most common, and it is used on structural steel, reinforcing bars, and other infrastructure components (Hegyi et al., 2015; Hernandez-Betancur, 201</w:t>
      </w:r>
      <w:r w:rsidR="0031425D">
        <w:t>8</w:t>
      </w:r>
      <w:r>
        <w:t>).</w:t>
      </w:r>
    </w:p>
    <w:p w14:paraId="473C3665" w14:textId="2029B90B" w:rsidR="005E603F" w:rsidRDefault="00000000">
      <w:pPr>
        <w:spacing w:line="480" w:lineRule="auto"/>
        <w:ind w:firstLine="720"/>
        <w:jc w:val="both"/>
      </w:pPr>
      <w:r>
        <w:t>Galvanizing is also the largest single use of zinc, accounting for 60% of the zinc used by first-use application, and construction (50%), transport (20%), and infrastructure (15%) are the largest end-use sectors of zinc (International Lead and Zinc Study Group, 2024). Continuous galvanizing of steel coil is carried out by large integrated steel producers, whereas batch (general) HDG</w:t>
      </w:r>
      <w:r w:rsidR="00D10017">
        <w:t xml:space="preserve"> </w:t>
      </w:r>
      <w:r>
        <w:t>is a fragmented industry of many small plants located close to their markets (</w:t>
      </w:r>
      <w:r w:rsidR="00D10017">
        <w:t>International Lead and Zinc Study Group</w:t>
      </w:r>
      <w:r>
        <w:t xml:space="preserve">, 2024). World zinc mine production was an estimated 13.0 million </w:t>
      </w:r>
      <w:proofErr w:type="spellStart"/>
      <w:r>
        <w:lastRenderedPageBreak/>
        <w:t>tonnes</w:t>
      </w:r>
      <w:proofErr w:type="spellEnd"/>
      <w:r>
        <w:t xml:space="preserve"> in 2025, led by China (4.1 million </w:t>
      </w:r>
      <w:proofErr w:type="spellStart"/>
      <w:r>
        <w:t>tonnes</w:t>
      </w:r>
      <w:proofErr w:type="spellEnd"/>
      <w:r>
        <w:t>), Peru (1.5</w:t>
      </w:r>
      <w:r w:rsidR="00D10017">
        <w:t xml:space="preserve"> </w:t>
      </w:r>
      <w:r w:rsidR="00D10017">
        <w:t xml:space="preserve">million </w:t>
      </w:r>
      <w:proofErr w:type="spellStart"/>
      <w:r w:rsidR="00D10017">
        <w:t>tonnes</w:t>
      </w:r>
      <w:proofErr w:type="spellEnd"/>
      <w:r>
        <w:t>), and Australia (1.1</w:t>
      </w:r>
      <w:r w:rsidR="00D10017">
        <w:t xml:space="preserve"> </w:t>
      </w:r>
      <w:r w:rsidR="00D10017">
        <w:t xml:space="preserve">million </w:t>
      </w:r>
      <w:proofErr w:type="spellStart"/>
      <w:r w:rsidR="00D10017">
        <w:t>tonnes</w:t>
      </w:r>
      <w:proofErr w:type="spellEnd"/>
      <w:r>
        <w:t>) (U.S. Geological Survey, 2026). Supply security has made zinc a policy concern in steel-consuming economies: the United States, whose net import reliance for refined zinc was 73% in 2025, retained zinc in its 2025 List of Critical Minerals (</w:t>
      </w:r>
      <w:r w:rsidR="00D10017">
        <w:t>U.S. Geological Survey</w:t>
      </w:r>
      <w:r>
        <w:t>, 2025</w:t>
      </w:r>
      <w:r w:rsidR="00227590">
        <w:t xml:space="preserve">, </w:t>
      </w:r>
      <w:r>
        <w:t>2026). The efficient use of zinc in galvanizing lines is therefore a resource question for large steel producers and consumers such as China and the United States, as well as for galvanizers in developing economies, and every kilogram of zinc lost as dross, ash, or spent flux in the line is a kilogram that must be mined, smelted, and paid for again.</w:t>
      </w:r>
    </w:p>
    <w:p w14:paraId="6BFF90F0" w14:textId="77777777" w:rsidR="005E603F" w:rsidRDefault="00000000">
      <w:pPr>
        <w:spacing w:line="480" w:lineRule="auto"/>
        <w:ind w:firstLine="720"/>
        <w:jc w:val="both"/>
      </w:pPr>
      <w:r>
        <w:t>The galvanizing line also generates waste. Degreasing, pickling, and fluxing produce spent solutions, rinse wastewater, and sludge, and the molten bath produces dross, ash, and zinc splash, in addition to gaseous emissions (Hernandez-Betancur et al., 2019). The literature on the sustainability of HDG has approached these burdens from separate angles: cleaner production and zero-emission strategies in plants in China and Austria (Kong &amp; White, 2010; Fresner et al., 2007), the environmental impacts of steel production and its galvanizing stage (</w:t>
      </w:r>
      <w:proofErr w:type="spellStart"/>
      <w:r>
        <w:t>Tongpool</w:t>
      </w:r>
      <w:proofErr w:type="spellEnd"/>
      <w:r>
        <w:t xml:space="preserve"> et al., 2010), the management of solid wastes and spent pickling solutions (Lobato et al., 2015), and the economics of zinc consumption (</w:t>
      </w:r>
      <w:proofErr w:type="spellStart"/>
      <w:r>
        <w:t>Akamphon</w:t>
      </w:r>
      <w:proofErr w:type="spellEnd"/>
      <w:r>
        <w:t xml:space="preserve"> et al., 2012). Studies that combine economic and environmental dimensions mostly assess the galvanized product, for example reinforcing bars in concrete, rather than the production process (Hegyi et al., 2015), and Fresner et al. (2007) found that environmental solutions can be technically feasible without being economically viable, which shows that cost and environmental objectives may conflict and that a single-objective view is insufficient.</w:t>
      </w:r>
    </w:p>
    <w:p w14:paraId="466835A2" w14:textId="7FB9F048" w:rsidR="005E603F" w:rsidRDefault="00000000">
      <w:pPr>
        <w:spacing w:line="480" w:lineRule="auto"/>
        <w:ind w:firstLine="720"/>
        <w:jc w:val="both"/>
      </w:pPr>
      <w:r>
        <w:t xml:space="preserve">To assess the process rather than the product, Hernandez-Betancur et al. (2019) proposed a framework that combines 17 process-oriented indicators of the GREENSCOPE methodology </w:t>
      </w:r>
      <w:r>
        <w:lastRenderedPageBreak/>
        <w:t>(Ruiz-Mercado et al., 2012) with a coating quality indicator based on ISO 1461, weights the indicators and their categories (environment, efficiency, energy, economy, and quality) with a fuzzy analytic hierarchy process (FAHP</w:t>
      </w:r>
      <w:r w:rsidR="00490CFC">
        <w:t>)</w:t>
      </w:r>
      <w:r>
        <w:t xml:space="preserve"> applied to a survey of ten experts</w:t>
      </w:r>
      <w:r w:rsidR="00490CFC">
        <w:t xml:space="preserve"> </w:t>
      </w:r>
      <w:r w:rsidR="00490CFC">
        <w:t>(Chang, 1996)</w:t>
      </w:r>
      <w:r>
        <w:t xml:space="preserve">, aggregates them into an additive utility (Smith &amp; Ruiz-Mercado, 2014), and represents the random nature of the steel lots, the operating conditions, and the surroundings with a kinetic Monte Carlo simulation. Applied to a Colombian galvanizing line that processes about 180 </w:t>
      </w:r>
      <w:proofErr w:type="spellStart"/>
      <w:r>
        <w:t>tonnes</w:t>
      </w:r>
      <w:proofErr w:type="spellEnd"/>
      <w:r>
        <w:t xml:space="preserve"> of steel per month, the framework identified pickling and fluxing as the critical stages, which together explained 88.7% of the variation in process sustainability, and estimated a probability of only 45.26% that the process reaches the sustainability threshold of 80% utility. The authors concluded that these stages could not be improved without a significant change in the process configuration (Hernandez-Betancur et al., 2019).</w:t>
      </w:r>
    </w:p>
    <w:p w14:paraId="26DE57A7" w14:textId="77777777" w:rsidR="005E603F" w:rsidRDefault="00000000">
      <w:pPr>
        <w:spacing w:line="480" w:lineRule="auto"/>
        <w:ind w:firstLine="720"/>
        <w:jc w:val="both"/>
      </w:pPr>
      <w:r>
        <w:t>That conclusion was reached by diagnosing one fixed set of operating conditions. It does not show whether the controllable conditions of the critical stages, such as the acid concentration and dipping time in pickling or the salt concentration and pH of the flux, can improve the process without changing its configuration, nor which trade-offs among sustainability utility, manufacturing cost, polluted liquid waste, and water consumption appear when they are changed together, and any improvement has to hold under the variability of steel lots and ambient conditions that the line faces every day. Answering these questions requires using the framework prescriptively instead of diagnostically, that is, as the evaluator of an optimization in which every candidate set of operating conditions is assessed under uncertainty.</w:t>
      </w:r>
    </w:p>
    <w:p w14:paraId="3AD5664E" w14:textId="5907A2CE" w:rsidR="005E603F" w:rsidRDefault="00000000">
      <w:pPr>
        <w:spacing w:line="480" w:lineRule="auto"/>
        <w:ind w:firstLine="720"/>
        <w:jc w:val="both"/>
      </w:pPr>
      <w:r>
        <w:t xml:space="preserve">Multi-objective evolutionary algorithms, and </w:t>
      </w:r>
      <w:r w:rsidR="00CA5B20">
        <w:t xml:space="preserve">the </w:t>
      </w:r>
      <w:r w:rsidR="00CA5B20" w:rsidRPr="00CA5B20">
        <w:t>Non-dominated Sorting Genetic Algorithm II</w:t>
      </w:r>
      <w:r w:rsidR="00CA5B20" w:rsidRPr="00CA5B20">
        <w:t xml:space="preserve"> </w:t>
      </w:r>
      <w:r w:rsidR="00CA5B20">
        <w:t>(</w:t>
      </w:r>
      <w:r>
        <w:t>NSGA-II</w:t>
      </w:r>
      <w:r w:rsidR="00CA5B20">
        <w:t>)</w:t>
      </w:r>
      <w:r>
        <w:t xml:space="preserve"> in particular, suit this task because they return a set of non-dominated trade-off solutions in a single run</w:t>
      </w:r>
      <w:r w:rsidR="00CA5B20">
        <w:t xml:space="preserve"> </w:t>
      </w:r>
      <w:r w:rsidR="00CA5B20">
        <w:t>(Deb et al., 2002)</w:t>
      </w:r>
      <w:r>
        <w:t xml:space="preserve">. When the model is stochastic, the expected </w:t>
      </w:r>
      <w:r>
        <w:lastRenderedPageBreak/>
        <w:t>value of each objective can be estimated by Monte Carlo sampling</w:t>
      </w:r>
      <w:r w:rsidR="00CA5B20">
        <w:t xml:space="preserve">, i.e., </w:t>
      </w:r>
      <w:r>
        <w:t xml:space="preserve">the sample average approximation </w:t>
      </w:r>
      <w:r w:rsidR="00CA5B20">
        <w:t>(</w:t>
      </w:r>
      <w:proofErr w:type="spellStart"/>
      <w:r>
        <w:t>Kleywegt</w:t>
      </w:r>
      <w:proofErr w:type="spellEnd"/>
      <w:r>
        <w:t xml:space="preserve"> et al., 2002), and evaluating all candidates with the same random draws (</w:t>
      </w:r>
      <w:r w:rsidR="00CA5B20">
        <w:t xml:space="preserve">i.e., </w:t>
      </w:r>
      <w:r>
        <w:t>common random numbers) reduces the sampling noise in the comparison between candidates (Law, 2015). GREENSCOPE indicators have already served as objectives in the optimization of production chains (</w:t>
      </w:r>
      <w:proofErr w:type="spellStart"/>
      <w:r>
        <w:t>Vyhmeister</w:t>
      </w:r>
      <w:proofErr w:type="spellEnd"/>
      <w:r>
        <w:t xml:space="preserve"> et al., 2018). In the galvanizing literature, optimization has been applied to the air-knife parameters that set the coating thickness in continuous lines (Wang, 2018), to the heat treatment of continuous galvanizing of dual-phase steels with multi-objective genetic algorithms (Costa et al., 2019; Reséndiz-Flores et al., 2021), and to the operation of steel pickling baths (</w:t>
      </w:r>
      <w:proofErr w:type="spellStart"/>
      <w:r>
        <w:t>Crișan</w:t>
      </w:r>
      <w:proofErr w:type="spellEnd"/>
      <w:r>
        <w:t xml:space="preserve"> et al., 2023), while sustainability studies of batch HDG have examined the recovery of zinc and iron from spent pickling acids with life cycle assessment (</w:t>
      </w:r>
      <w:proofErr w:type="spellStart"/>
      <w:r>
        <w:t>Arguillarena</w:t>
      </w:r>
      <w:proofErr w:type="spellEnd"/>
      <w:r>
        <w:t xml:space="preserve"> et al., 2022, 2023; Lorenz et al., 2023). A search of the literature (Supporting Information SI-5) found no study that optimizes the operating conditions of the stages of a galvanizing line jointly against several sustainability objectives under uncertainty.</w:t>
      </w:r>
    </w:p>
    <w:p w14:paraId="27C28080" w14:textId="6C695372" w:rsidR="005E603F" w:rsidRDefault="00000000">
      <w:pPr>
        <w:spacing w:line="480" w:lineRule="auto"/>
        <w:ind w:firstLine="720"/>
        <w:jc w:val="both"/>
      </w:pPr>
      <w:r>
        <w:t>This study couples the</w:t>
      </w:r>
      <w:r w:rsidR="0063065E">
        <w:t xml:space="preserve"> </w:t>
      </w:r>
      <w:r>
        <w:t xml:space="preserve">framework </w:t>
      </w:r>
      <w:r w:rsidR="0063065E">
        <w:t xml:space="preserve">developed by </w:t>
      </w:r>
      <w:r w:rsidR="0063065E">
        <w:t>Hernandez-Betancur et al.</w:t>
      </w:r>
      <w:r w:rsidR="0063065E">
        <w:t xml:space="preserve"> (</w:t>
      </w:r>
      <w:r w:rsidR="0063065E">
        <w:t>2019</w:t>
      </w:r>
      <w:r w:rsidR="0063065E">
        <w:t xml:space="preserve">) </w:t>
      </w:r>
      <w:r>
        <w:t xml:space="preserve">with NSGA-II to find robust operating conditions for the HDG line. Seven controllable variables (the temperature of degreasing, the HCl concentration and dipping time in pickling, the temperature, pH, and salt concentration of the flux, and the temperature of the zinc bath) are optimized for four expected-value objectives (process utility, manufacturing cost, polluted liquid waste, and water consumption), subject to constraints on the probability of failing the ISO 1461 thickness requirement and on the accumulation of iron in the pickling bath. A fuzzy compromise based on the FAHP weights </w:t>
      </w:r>
      <w:r w:rsidR="0063065E">
        <w:t xml:space="preserve">obtained by </w:t>
      </w:r>
      <w:r w:rsidR="0063065E">
        <w:t>Hernandez-Betancur et al.</w:t>
      </w:r>
      <w:r w:rsidR="0063065E">
        <w:t xml:space="preserve"> (</w:t>
      </w:r>
      <w:r w:rsidR="0063065E">
        <w:t>2019</w:t>
      </w:r>
      <w:r w:rsidR="0063065E">
        <w:t xml:space="preserve">) </w:t>
      </w:r>
      <w:r>
        <w:t xml:space="preserve">selects one design from the Pareto set, the sensitivity of that selection to the objective weights and to raw-material prices is tested, and the selected design is compared with a baseline design through 1,000 simulated years </w:t>
      </w:r>
      <w:r>
        <w:lastRenderedPageBreak/>
        <w:t xml:space="preserve">of production for each. Section </w:t>
      </w:r>
      <w:r w:rsidR="00637DD6">
        <w:fldChar w:fldCharType="begin"/>
      </w:r>
      <w:r w:rsidR="00637DD6">
        <w:instrText xml:space="preserve"> REF _RefSec2 \r \t \h \* MERGEFORMAT </w:instrText>
      </w:r>
      <w:r w:rsidR="00637DD6">
        <w:fldChar w:fldCharType="separate"/>
      </w:r>
      <w:r w:rsidR="00227590" w:rsidRPr="00227590">
        <w:rPr>
          <w:color w:val="000000"/>
        </w:rPr>
        <w:t>2</w:t>
      </w:r>
      <w:r w:rsidR="00637DD6">
        <w:fldChar w:fldCharType="end"/>
      </w:r>
      <w:r>
        <w:t xml:space="preserve"> describes the methodology, Section </w:t>
      </w:r>
      <w:r w:rsidR="00637DD6">
        <w:fldChar w:fldCharType="begin"/>
      </w:r>
      <w:r w:rsidR="00637DD6">
        <w:instrText xml:space="preserve"> REF _RefSec3 \r \t \h \* MERGEFORMAT </w:instrText>
      </w:r>
      <w:r w:rsidR="00637DD6">
        <w:fldChar w:fldCharType="separate"/>
      </w:r>
      <w:r w:rsidR="00227590" w:rsidRPr="00227590">
        <w:rPr>
          <w:color w:val="000000"/>
        </w:rPr>
        <w:t>3</w:t>
      </w:r>
      <w:r w:rsidR="00637DD6">
        <w:fldChar w:fldCharType="end"/>
      </w:r>
      <w:r>
        <w:t xml:space="preserve"> presents and discusses the results, and Section </w:t>
      </w:r>
      <w:r w:rsidR="00637DD6">
        <w:fldChar w:fldCharType="begin"/>
      </w:r>
      <w:r w:rsidR="00637DD6">
        <w:instrText xml:space="preserve"> REF _RefSec4 \r \t \h \* MERGEFORMAT </w:instrText>
      </w:r>
      <w:r w:rsidR="00637DD6">
        <w:fldChar w:fldCharType="separate"/>
      </w:r>
      <w:r w:rsidR="00227590" w:rsidRPr="00227590">
        <w:rPr>
          <w:color w:val="000000"/>
        </w:rPr>
        <w:t>4</w:t>
      </w:r>
      <w:r w:rsidR="00637DD6">
        <w:fldChar w:fldCharType="end"/>
      </w:r>
      <w:r>
        <w:t xml:space="preserve"> gives the conclusions.</w:t>
      </w:r>
    </w:p>
    <w:p w14:paraId="6BC870E2" w14:textId="77777777" w:rsidR="005E603F" w:rsidRDefault="00000000" w:rsidP="00A65127">
      <w:pPr>
        <w:pStyle w:val="Heading1"/>
        <w:numPr>
          <w:ilvl w:val="0"/>
          <w:numId w:val="1"/>
        </w:numPr>
        <w:spacing w:before="0"/>
        <w:ind w:left="0" w:firstLine="0"/>
      </w:pPr>
      <w:bookmarkStart w:id="1" w:name="_RefSec2"/>
      <w:r>
        <w:rPr>
          <w:color w:val="000000"/>
        </w:rPr>
        <w:t>Methodology</w:t>
      </w:r>
      <w:bookmarkEnd w:id="1"/>
    </w:p>
    <w:p w14:paraId="039F8BC3" w14:textId="77777777" w:rsidR="005E603F" w:rsidRDefault="00000000" w:rsidP="00A65127">
      <w:pPr>
        <w:pStyle w:val="Heading2"/>
        <w:numPr>
          <w:ilvl w:val="1"/>
          <w:numId w:val="1"/>
        </w:numPr>
        <w:spacing w:before="0"/>
        <w:ind w:left="0" w:firstLine="0"/>
      </w:pPr>
      <w:bookmarkStart w:id="2" w:name="_RefSec2_1"/>
      <w:r>
        <w:rPr>
          <w:color w:val="000000"/>
        </w:rPr>
        <w:t>Overview of the approach</w:t>
      </w:r>
      <w:bookmarkEnd w:id="2"/>
    </w:p>
    <w:p w14:paraId="1AC15C7B" w14:textId="5F6DC55E" w:rsidR="005E603F" w:rsidRDefault="00637DD6">
      <w:pPr>
        <w:spacing w:line="480" w:lineRule="auto"/>
        <w:ind w:firstLine="720"/>
        <w:jc w:val="both"/>
      </w:pPr>
      <w:r>
        <w:fldChar w:fldCharType="begin"/>
      </w:r>
      <w:r>
        <w:instrText xml:space="preserve"> REF _RefFigure1 \h \* MERGEFORMAT </w:instrText>
      </w:r>
      <w:r>
        <w:fldChar w:fldCharType="separate"/>
      </w:r>
      <w:r w:rsidR="00227590" w:rsidRPr="00227590">
        <w:rPr>
          <w:color w:val="000000"/>
        </w:rPr>
        <w:t xml:space="preserve">Figure </w:t>
      </w:r>
      <w:r w:rsidR="00227590" w:rsidRPr="00227590">
        <w:rPr>
          <w:noProof/>
          <w:color w:val="000000"/>
        </w:rPr>
        <w:t>1</w:t>
      </w:r>
      <w:r>
        <w:fldChar w:fldCharType="end"/>
      </w:r>
      <w:r w:rsidR="00000000">
        <w:t xml:space="preserve"> summarizes the approach. A candidate set of operating conditions (the decision vector </w:t>
      </w:r>
      <w:r w:rsidR="00000000">
        <w:rPr>
          <w:i/>
        </w:rPr>
        <w:t>x</w:t>
      </w:r>
      <w:r w:rsidR="00000000">
        <w:t xml:space="preserve">) and a random draw of the uncertain inputs (steel lots, composition, contamination, and ambient temperature) feed a stage-resolved simulation of one year of production of the HDG line (Section </w:t>
      </w:r>
      <w:r>
        <w:fldChar w:fldCharType="begin"/>
      </w:r>
      <w:r>
        <w:instrText xml:space="preserve"> REF _RefSec2_2 \r \t \h \* MERGEFORMAT </w:instrText>
      </w:r>
      <w:r>
        <w:fldChar w:fldCharType="separate"/>
      </w:r>
      <w:r w:rsidR="00227590" w:rsidRPr="00227590">
        <w:rPr>
          <w:color w:val="000000"/>
        </w:rPr>
        <w:t>2.2</w:t>
      </w:r>
      <w:r>
        <w:fldChar w:fldCharType="end"/>
      </w:r>
      <w:r w:rsidR="00000000">
        <w:t xml:space="preserve">). The resulting inventory is converted into indicator scores and a process utility (Section </w:t>
      </w:r>
      <w:r>
        <w:fldChar w:fldCharType="begin"/>
      </w:r>
      <w:r>
        <w:instrText xml:space="preserve"> REF _RefSec2_3 \r \t \h \* MERGEFORMAT </w:instrText>
      </w:r>
      <w:r>
        <w:fldChar w:fldCharType="separate"/>
      </w:r>
      <w:r w:rsidR="00227590" w:rsidRPr="00227590">
        <w:rPr>
          <w:color w:val="000000"/>
        </w:rPr>
        <w:t>2.3</w:t>
      </w:r>
      <w:r>
        <w:fldChar w:fldCharType="end"/>
      </w:r>
      <w:r w:rsidR="00000000">
        <w:t xml:space="preserve">). Repeating the simulation for </w:t>
      </w:r>
      <w:r w:rsidR="00000000">
        <w:rPr>
          <w:i/>
        </w:rPr>
        <w:t>N</w:t>
      </w:r>
      <w:r w:rsidR="00000000">
        <w:t xml:space="preserve"> random years gives the expected values of the objectives and of the constraint quantities of that candidate (Section </w:t>
      </w:r>
      <w:r>
        <w:fldChar w:fldCharType="begin"/>
      </w:r>
      <w:r>
        <w:instrText xml:space="preserve"> REF _RefSec2_4 \r \t \h \* MERGEFORMAT </w:instrText>
      </w:r>
      <w:r>
        <w:fldChar w:fldCharType="separate"/>
      </w:r>
      <w:r w:rsidR="00227590" w:rsidRPr="00227590">
        <w:rPr>
          <w:color w:val="000000"/>
        </w:rPr>
        <w:t>2.4</w:t>
      </w:r>
      <w:r>
        <w:fldChar w:fldCharType="end"/>
      </w:r>
      <w:r w:rsidR="00000000">
        <w:t xml:space="preserve">), and NSGA-II searches for non-dominated candidates (Section </w:t>
      </w:r>
      <w:r>
        <w:fldChar w:fldCharType="begin"/>
      </w:r>
      <w:r>
        <w:instrText xml:space="preserve"> REF _RefSec2_5 \r \t \h \* MERGEFORMAT </w:instrText>
      </w:r>
      <w:r>
        <w:fldChar w:fldCharType="separate"/>
      </w:r>
      <w:r w:rsidR="00227590" w:rsidRPr="00227590">
        <w:rPr>
          <w:color w:val="000000"/>
        </w:rPr>
        <w:t>2.5</w:t>
      </w:r>
      <w:r>
        <w:fldChar w:fldCharType="end"/>
      </w:r>
      <w:r w:rsidR="00000000">
        <w:t xml:space="preserve">). The Pareto set is then re-evaluated at full-year scale, a compromise design is selected with a fuzzy decision rule, and the sensitivity of that choice to weights and prices is tested (Section </w:t>
      </w:r>
      <w:r>
        <w:fldChar w:fldCharType="begin"/>
      </w:r>
      <w:r>
        <w:instrText xml:space="preserve"> REF _RefSec2_6 \r \t \h \* MERGEFORMAT </w:instrText>
      </w:r>
      <w:r>
        <w:fldChar w:fldCharType="separate"/>
      </w:r>
      <w:r w:rsidR="00227590" w:rsidRPr="00227590">
        <w:rPr>
          <w:color w:val="000000"/>
        </w:rPr>
        <w:t>2.6</w:t>
      </w:r>
      <w:r>
        <w:fldChar w:fldCharType="end"/>
      </w:r>
      <w:r w:rsidR="00000000">
        <w:t xml:space="preserve">). Finally, the selected design and a baseline design are compared through 1,000 simulated years each (Section </w:t>
      </w:r>
      <w:r>
        <w:fldChar w:fldCharType="begin"/>
      </w:r>
      <w:r>
        <w:instrText xml:space="preserve"> REF _RefSec2_7 \r \t \h \* MERGEFORMAT </w:instrText>
      </w:r>
      <w:r>
        <w:fldChar w:fldCharType="separate"/>
      </w:r>
      <w:r w:rsidR="00227590" w:rsidRPr="00227590">
        <w:rPr>
          <w:color w:val="000000"/>
        </w:rPr>
        <w:t>2.7</w:t>
      </w:r>
      <w:r>
        <w:fldChar w:fldCharType="end"/>
      </w:r>
      <w:r w:rsidR="00000000">
        <w:t>).</w:t>
      </w:r>
    </w:p>
    <w:p w14:paraId="0705ADB5" w14:textId="77777777" w:rsidR="005E603F" w:rsidRDefault="00000000">
      <w:pPr>
        <w:jc w:val="center"/>
      </w:pPr>
      <w:r>
        <w:rPr>
          <w:noProof/>
        </w:rPr>
        <w:lastRenderedPageBreak/>
        <w:drawing>
          <wp:inline distT="0" distB="0" distL="0" distR="0" wp14:editId="77573199">
            <wp:extent cx="4354652" cy="511216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ramework.png"/>
                    <pic:cNvPicPr/>
                  </pic:nvPicPr>
                  <pic:blipFill rotWithShape="1">
                    <a:blip r:embed="rId9"/>
                    <a:srcRect l="1720" t="1664" r="3010" b="2151"/>
                    <a:stretch>
                      <a:fillRect/>
                    </a:stretch>
                  </pic:blipFill>
                  <pic:spPr bwMode="auto">
                    <a:xfrm>
                      <a:off x="0" y="0"/>
                      <a:ext cx="4354652" cy="5112160"/>
                    </a:xfrm>
                    <a:prstGeom prst="rect">
                      <a:avLst/>
                    </a:prstGeom>
                    <a:ln>
                      <a:noFill/>
                    </a:ln>
                    <a:extLst>
                      <a:ext uri="{53640926-AAD7-44D8-BBD7-CCE9431645EC}">
                        <a14:shadowObscured xmlns:a14="http://schemas.microsoft.com/office/drawing/2010/main"/>
                      </a:ext>
                    </a:extLst>
                  </pic:spPr>
                </pic:pic>
              </a:graphicData>
            </a:graphic>
          </wp:inline>
        </w:drawing>
      </w:r>
    </w:p>
    <w:p w14:paraId="7FE5B61E" w14:textId="0B124116" w:rsidR="005E603F" w:rsidRDefault="00000000">
      <w:pPr>
        <w:pStyle w:val="Caption"/>
      </w:pPr>
      <w:bookmarkStart w:id="3" w:name="_RefFigure1"/>
      <w:r w:rsidRPr="003A047F">
        <w:rPr>
          <w:b/>
        </w:rPr>
        <w:t xml:space="preserve">Figure </w:t>
      </w:r>
      <w:r w:rsidR="003A047F" w:rsidRPr="003A047F">
        <w:rPr>
          <w:b/>
        </w:rPr>
        <w:fldChar w:fldCharType="begin"/>
      </w:r>
      <w:r w:rsidR="003A047F" w:rsidRPr="003A047F">
        <w:rPr>
          <w:b/>
        </w:rPr>
        <w:instrText xml:space="preserve"> SEQ Figure \* ARABIC </w:instrText>
      </w:r>
      <w:r w:rsidR="003A047F" w:rsidRPr="003A047F">
        <w:rPr>
          <w:b/>
        </w:rPr>
        <w:fldChar w:fldCharType="separate"/>
      </w:r>
      <w:r w:rsidR="00227590">
        <w:rPr>
          <w:b/>
          <w:noProof/>
        </w:rPr>
        <w:t>1</w:t>
      </w:r>
      <w:bookmarkEnd w:id="3"/>
      <w:r w:rsidR="003A047F" w:rsidRPr="003A047F">
        <w:rPr>
          <w:b/>
        </w:rPr>
        <w:fldChar w:fldCharType="end"/>
      </w:r>
      <w:r w:rsidRPr="003A047F">
        <w:rPr>
          <w:b/>
        </w:rPr>
        <w:t>.</w:t>
      </w:r>
      <w:r>
        <w:t xml:space="preserve"> Framework for the robust multi-objective optimization of the hot-dip galvanizing (HDG) line. Operating conditions (decision vector) and random inputs feed a stage-resolved simulation; indicator scores and the process utility give the objectives and constraints as Monte Carlo means; NSGA-II proposes new candidates until it terminates; the Pareto set is re-evaluated at full-year scale, a compromise design is selected, and it is compared with the baseline design. FAHP = fuzzy analytic hierarchy process; SBX = simulated binary crossover; CI = confidence interval; </w:t>
      </w:r>
      <w:proofErr w:type="gramStart"/>
      <w:r>
        <w:t>E[</w:t>
      </w:r>
      <w:proofErr w:type="gramEnd"/>
      <w:r>
        <w:t>·] = expected value.</w:t>
      </w:r>
    </w:p>
    <w:p w14:paraId="2A889409" w14:textId="77777777" w:rsidR="005E603F" w:rsidRDefault="00000000" w:rsidP="00A65127">
      <w:pPr>
        <w:pStyle w:val="Heading2"/>
        <w:numPr>
          <w:ilvl w:val="1"/>
          <w:numId w:val="1"/>
        </w:numPr>
        <w:spacing w:before="0"/>
        <w:ind w:left="0" w:firstLine="0"/>
      </w:pPr>
      <w:bookmarkStart w:id="4" w:name="_RefSec2_2"/>
      <w:r>
        <w:rPr>
          <w:color w:val="000000"/>
        </w:rPr>
        <w:t>Process model and sources of uncertainty</w:t>
      </w:r>
      <w:bookmarkEnd w:id="4"/>
    </w:p>
    <w:p w14:paraId="54A3EFC4" w14:textId="6663DB03" w:rsidR="005E603F" w:rsidRDefault="00000000">
      <w:pPr>
        <w:spacing w:line="480" w:lineRule="auto"/>
        <w:ind w:firstLine="720"/>
        <w:jc w:val="both"/>
      </w:pPr>
      <w:r>
        <w:t xml:space="preserve">The line modeled is the one analyzed in the </w:t>
      </w:r>
      <w:r w:rsidR="002C766A">
        <w:t>Hernandez-Betancur et al.</w:t>
      </w:r>
      <w:r w:rsidR="002C766A">
        <w:t xml:space="preserve"> (</w:t>
      </w:r>
      <w:r w:rsidR="002C766A">
        <w:t>2019</w:t>
      </w:r>
      <w:r w:rsidR="002C766A">
        <w:t xml:space="preserve">) </w:t>
      </w:r>
      <w:r>
        <w:t>study</w:t>
      </w:r>
      <w:r w:rsidR="002C766A">
        <w:t xml:space="preserve">: </w:t>
      </w:r>
      <w:r>
        <w:t xml:space="preserve">a galvanizer that processes about 180 </w:t>
      </w:r>
      <w:proofErr w:type="spellStart"/>
      <w:r>
        <w:t>tonnes</w:t>
      </w:r>
      <w:proofErr w:type="spellEnd"/>
      <w:r>
        <w:t xml:space="preserve"> of steel per month, represented as 41,379,264 pieces per year (</w:t>
      </w:r>
      <w:r w:rsidR="00637DD6">
        <w:fldChar w:fldCharType="begin"/>
      </w:r>
      <w:r w:rsidR="00637DD6">
        <w:instrText xml:space="preserve"> REF _RefFigure2 \h \* MERGEFORMAT </w:instrText>
      </w:r>
      <w:r w:rsidR="00637DD6">
        <w:fldChar w:fldCharType="separate"/>
      </w:r>
      <w:r w:rsidR="00227590" w:rsidRPr="00227590">
        <w:rPr>
          <w:color w:val="000000"/>
        </w:rPr>
        <w:t xml:space="preserve">Figure </w:t>
      </w:r>
      <w:r w:rsidR="00227590" w:rsidRPr="00227590">
        <w:rPr>
          <w:noProof/>
          <w:color w:val="000000"/>
        </w:rPr>
        <w:t>2</w:t>
      </w:r>
      <w:r w:rsidR="00637DD6">
        <w:fldChar w:fldCharType="end"/>
      </w:r>
      <w:r>
        <w:t>). Pieces are degreased in a NaOH solution, rinsed, pickled in HCl to remove rust, rinsed again, immersed in a ZnCl</w:t>
      </w:r>
      <w:r>
        <w:rPr>
          <w:vertAlign w:val="subscript"/>
        </w:rPr>
        <w:t>2</w:t>
      </w:r>
      <w:r>
        <w:t>/NH</w:t>
      </w:r>
      <w:r>
        <w:rPr>
          <w:vertAlign w:val="subscript"/>
        </w:rPr>
        <w:t>4</w:t>
      </w:r>
      <w:r>
        <w:t xml:space="preserve">Cl flux solution, dried, and dipped in molten zinc. A </w:t>
      </w:r>
      <w:r>
        <w:lastRenderedPageBreak/>
        <w:t>random 2% of the pieces is re-processed: their coating is removed in a dilute HCl bath (dezincification) before they re-enter rinsing, fluxing, and galvanizing.</w:t>
      </w:r>
    </w:p>
    <w:p w14:paraId="30320B85" w14:textId="77777777" w:rsidR="005E603F" w:rsidRDefault="00000000">
      <w:pPr>
        <w:jc w:val="center"/>
      </w:pPr>
      <w:r>
        <w:rPr>
          <w:noProof/>
        </w:rPr>
        <w:drawing>
          <wp:inline distT="0" distB="0" distL="0" distR="0" wp14:editId="1196D111">
            <wp:extent cx="5851695" cy="6520721"/>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dg_line.png"/>
                    <pic:cNvPicPr/>
                  </pic:nvPicPr>
                  <pic:blipFill rotWithShape="1">
                    <a:blip r:embed="rId10"/>
                    <a:srcRect b="3425"/>
                    <a:stretch>
                      <a:fillRect/>
                    </a:stretch>
                  </pic:blipFill>
                  <pic:spPr bwMode="auto">
                    <a:xfrm>
                      <a:off x="0" y="0"/>
                      <a:ext cx="5852160" cy="6521240"/>
                    </a:xfrm>
                    <a:prstGeom prst="rect">
                      <a:avLst/>
                    </a:prstGeom>
                    <a:ln>
                      <a:noFill/>
                    </a:ln>
                    <a:extLst>
                      <a:ext uri="{53640926-AAD7-44D8-BBD7-CCE9431645EC}">
                        <a14:shadowObscured xmlns:a14="http://schemas.microsoft.com/office/drawing/2010/main"/>
                      </a:ext>
                    </a:extLst>
                  </pic:spPr>
                </pic:pic>
              </a:graphicData>
            </a:graphic>
          </wp:inline>
        </w:drawing>
      </w:r>
    </w:p>
    <w:p w14:paraId="0AF0B494" w14:textId="56BA07C5" w:rsidR="005E603F" w:rsidRDefault="00000000">
      <w:pPr>
        <w:pStyle w:val="Caption"/>
      </w:pPr>
      <w:bookmarkStart w:id="5" w:name="_RefFigure2"/>
      <w:r w:rsidRPr="003A047F">
        <w:rPr>
          <w:b/>
        </w:rPr>
        <w:t xml:space="preserve">Figure </w:t>
      </w:r>
      <w:r w:rsidR="003A047F" w:rsidRPr="003A047F">
        <w:rPr>
          <w:b/>
        </w:rPr>
        <w:fldChar w:fldCharType="begin"/>
      </w:r>
      <w:r w:rsidR="003A047F" w:rsidRPr="003A047F">
        <w:rPr>
          <w:b/>
        </w:rPr>
        <w:instrText xml:space="preserve"> SEQ Figure \* ARABIC </w:instrText>
      </w:r>
      <w:r w:rsidR="003A047F" w:rsidRPr="003A047F">
        <w:rPr>
          <w:b/>
        </w:rPr>
        <w:fldChar w:fldCharType="separate"/>
      </w:r>
      <w:r w:rsidR="00227590">
        <w:rPr>
          <w:b/>
          <w:noProof/>
        </w:rPr>
        <w:t>2</w:t>
      </w:r>
      <w:bookmarkEnd w:id="5"/>
      <w:r w:rsidR="003A047F" w:rsidRPr="003A047F">
        <w:rPr>
          <w:b/>
        </w:rPr>
        <w:fldChar w:fldCharType="end"/>
      </w:r>
      <w:r w:rsidRPr="003A047F">
        <w:rPr>
          <w:b/>
        </w:rPr>
        <w:t>.</w:t>
      </w:r>
      <w:r>
        <w:t xml:space="preserve"> Process flow diagram of the hot-dip galvanizing line simulated (units U1 to U7). Thick black arrows: flow of the steel pieces through the line. Thin blue arrows: feeds of chemicals, water, and zinc to each unit. Thin gray arrows: outputs of each unit (spent solutions, rinse wastewater, hydroxide sludge, dross, and ash), which the 17 GREENSCOPE indicators account for. Dashed arrows: re-processing loop, in which 2% of the pieces leave galvanizing, pass through the dezincification bath, and re-enter the line at rinsing 2. Red blocks x1 to x7: the decision variables, that is, the operating conditions of the unit they touch that the optimizer sets within the bounds of </w:t>
      </w:r>
      <w:r w:rsidR="00637DD6">
        <w:fldChar w:fldCharType="begin"/>
      </w:r>
      <w:r w:rsidR="00637DD6">
        <w:instrText xml:space="preserve"> REF _RefTable2 \h \* MERGEFORMAT </w:instrText>
      </w:r>
      <w:r w:rsidR="00637DD6">
        <w:fldChar w:fldCharType="separate"/>
      </w:r>
      <w:r w:rsidR="00227590" w:rsidRPr="00227590">
        <w:t xml:space="preserve">Table </w:t>
      </w:r>
      <w:r w:rsidR="00227590" w:rsidRPr="00227590">
        <w:rPr>
          <w:noProof/>
        </w:rPr>
        <w:t>2</w:t>
      </w:r>
      <w:r w:rsidR="00637DD6">
        <w:fldChar w:fldCharType="end"/>
      </w:r>
      <w:r>
        <w:t xml:space="preserve"> (T = temperature). Orange boxes: random inputs of the simulation (</w:t>
      </w:r>
      <w:r w:rsidR="00637DD6">
        <w:fldChar w:fldCharType="begin"/>
      </w:r>
      <w:r w:rsidR="00637DD6">
        <w:instrText xml:space="preserve"> REF _RefTable1 \h \* MERGEFORMAT </w:instrText>
      </w:r>
      <w:r w:rsidR="00637DD6">
        <w:fldChar w:fldCharType="separate"/>
      </w:r>
      <w:r w:rsidR="00227590" w:rsidRPr="00227590">
        <w:t xml:space="preserve">Table </w:t>
      </w:r>
      <w:r w:rsidR="00227590" w:rsidRPr="00227590">
        <w:rPr>
          <w:noProof/>
        </w:rPr>
        <w:t>1</w:t>
      </w:r>
      <w:r w:rsidR="00637DD6">
        <w:fldChar w:fldCharType="end"/>
      </w:r>
      <w:r>
        <w:t>).</w:t>
      </w:r>
    </w:p>
    <w:p w14:paraId="4F4C3B46" w14:textId="77777777" w:rsidR="005E603F" w:rsidRDefault="00000000">
      <w:pPr>
        <w:spacing w:line="480" w:lineRule="auto"/>
        <w:ind w:firstLine="720"/>
        <w:jc w:val="both"/>
      </w:pPr>
      <w:r>
        <w:lastRenderedPageBreak/>
        <w:t>Each stage is described by mass and energy balances of its bath and of the pieces, together with the phenomena that govern it: saponification of grease in the degreasing bath; dissolution of iron oxide (</w:t>
      </w:r>
      <w:proofErr w:type="spellStart"/>
      <w:r>
        <w:t>FeO</w:t>
      </w:r>
      <w:proofErr w:type="spellEnd"/>
      <w:r>
        <w:t>) and of steel in the pickling bath, with rate equations integrated numerically over the dipping time; Butler-Volmer kinetics for the dissolution of zinc in the dezincification bath (Hernandez-Betancur, 2018); ionic equilibria of Zn(OH)</w:t>
      </w:r>
      <w:r>
        <w:rPr>
          <w:vertAlign w:val="subscript"/>
        </w:rPr>
        <w:t>2</w:t>
      </w:r>
      <w:r>
        <w:t>, NH</w:t>
      </w:r>
      <w:r>
        <w:rPr>
          <w:vertAlign w:val="subscript"/>
        </w:rPr>
        <w:t>4</w:t>
      </w:r>
      <w:r>
        <w:t>OH, and Fe(OH)</w:t>
      </w:r>
      <w:r>
        <w:rPr>
          <w:vertAlign w:val="subscript"/>
        </w:rPr>
        <w:t>2</w:t>
      </w:r>
      <w:r>
        <w:t xml:space="preserve"> and regulation of the pH with HCl and NH</w:t>
      </w:r>
      <w:r>
        <w:rPr>
          <w:vertAlign w:val="subscript"/>
        </w:rPr>
        <w:t>4</w:t>
      </w:r>
      <w:r>
        <w:t xml:space="preserve">OH in the flux bath; the heat duties of the heated baths and of the dryer; and a regression of the coating thickness </w:t>
      </w:r>
      <w:r>
        <w:rPr>
          <w:i/>
        </w:rPr>
        <w:t>δ</w:t>
      </w:r>
      <w:r>
        <w:t xml:space="preserve"> on the zinc bath temperature and the silicon content of the steel. Baths are renewed when they reach operating limits (an iron concentration of 150 g/L in the normal pickling bath, an HCl concentration below 10 g/L in the dezincification bath, and an iron concentration of 5 g/L in the flux bath); the degreasing bath is renewed once a year and the rinsing tanks 54 times a year. The coating thickness required for each piece depends on its gauge and is the local minimum thickness of ISO 1461 (35, 45, 55, or 70 µm for gauges below 1.5 mm, from 1.5 to 3 mm, from 3 to 6 mm, and above 6 mm; International Organization for Standardization, 2009).</w:t>
      </w:r>
    </w:p>
    <w:p w14:paraId="3A8ADE65" w14:textId="1D3D5E84" w:rsidR="005E603F" w:rsidRDefault="00000000">
      <w:pPr>
        <w:spacing w:line="480" w:lineRule="auto"/>
        <w:ind w:firstLine="720"/>
        <w:jc w:val="both"/>
      </w:pPr>
      <w:r>
        <w:t>Randomness enters through the steel lots, the state of the fresh baths, and the surroundings (</w:t>
      </w:r>
      <w:r w:rsidR="00637DD6">
        <w:fldChar w:fldCharType="begin"/>
      </w:r>
      <w:r w:rsidR="00637DD6">
        <w:instrText xml:space="preserve"> REF _RefTable1 \h \* MERGEFORMAT </w:instrText>
      </w:r>
      <w:r w:rsidR="00637DD6">
        <w:fldChar w:fldCharType="separate"/>
      </w:r>
      <w:r w:rsidR="00227590" w:rsidRPr="00227590">
        <w:rPr>
          <w:color w:val="000000"/>
        </w:rPr>
        <w:t xml:space="preserve">Table </w:t>
      </w:r>
      <w:r w:rsidR="00227590" w:rsidRPr="00227590">
        <w:rPr>
          <w:noProof/>
          <w:color w:val="000000"/>
        </w:rPr>
        <w:t>1</w:t>
      </w:r>
      <w:r w:rsidR="00637DD6">
        <w:fldChar w:fldCharType="end"/>
      </w:r>
      <w:r>
        <w:t>). In each simulated year, lots are drawn until the annual number of pieces is reached; the ambient temperature is drawn for every lot and affects the heat losses of all open tanks. The variables that the optimization controls replace the corresponding random draws of the 2019 study (</w:t>
      </w:r>
      <w:r w:rsidR="00637DD6">
        <w:fldChar w:fldCharType="begin"/>
      </w:r>
      <w:r w:rsidR="00637DD6">
        <w:instrText xml:space="preserve"> REF _RefTable2 \h \* MERGEFORMAT </w:instrText>
      </w:r>
      <w:r w:rsidR="00637DD6">
        <w:fldChar w:fldCharType="separate"/>
      </w:r>
      <w:r w:rsidR="00227590" w:rsidRPr="00227590">
        <w:rPr>
          <w:color w:val="000000"/>
        </w:rPr>
        <w:t xml:space="preserve">Table </w:t>
      </w:r>
      <w:r w:rsidR="00227590" w:rsidRPr="00227590">
        <w:rPr>
          <w:noProof/>
          <w:color w:val="000000"/>
        </w:rPr>
        <w:t>2</w:t>
      </w:r>
      <w:r w:rsidR="00637DD6">
        <w:fldChar w:fldCharType="end"/>
      </w:r>
      <w:r>
        <w:t xml:space="preserve">); all other inputs keep the distributions of </w:t>
      </w:r>
      <w:r w:rsidR="00637DD6">
        <w:fldChar w:fldCharType="begin"/>
      </w:r>
      <w:r w:rsidR="00637DD6">
        <w:instrText xml:space="preserve"> REF _RefTable1 \h \* MERGEFORMAT </w:instrText>
      </w:r>
      <w:r w:rsidR="00637DD6">
        <w:fldChar w:fldCharType="separate"/>
      </w:r>
      <w:r w:rsidR="00227590" w:rsidRPr="00227590">
        <w:rPr>
          <w:color w:val="000000"/>
        </w:rPr>
        <w:t xml:space="preserve">Table </w:t>
      </w:r>
      <w:r w:rsidR="00227590" w:rsidRPr="00227590">
        <w:rPr>
          <w:noProof/>
          <w:color w:val="000000"/>
        </w:rPr>
        <w:t>1</w:t>
      </w:r>
      <w:r w:rsidR="00637DD6">
        <w:fldChar w:fldCharType="end"/>
      </w:r>
      <w:r>
        <w:t>.</w:t>
      </w:r>
    </w:p>
    <w:p w14:paraId="7C82AD18" w14:textId="1BAD5FD2" w:rsidR="005E603F" w:rsidRDefault="00000000" w:rsidP="003A047F">
      <w:pPr>
        <w:pStyle w:val="Caption"/>
      </w:pPr>
      <w:bookmarkStart w:id="6" w:name="_RefTable1"/>
      <w:r w:rsidRPr="003A047F">
        <w:rPr>
          <w:b/>
        </w:rPr>
        <w:t xml:space="preserve">Table </w:t>
      </w:r>
      <w:r w:rsidR="003A047F" w:rsidRPr="003A047F">
        <w:rPr>
          <w:b/>
        </w:rPr>
        <w:fldChar w:fldCharType="begin"/>
      </w:r>
      <w:r w:rsidR="003A047F" w:rsidRPr="003A047F">
        <w:rPr>
          <w:b/>
        </w:rPr>
        <w:instrText xml:space="preserve"> SEQ Table \* ARABIC </w:instrText>
      </w:r>
      <w:r w:rsidR="003A047F" w:rsidRPr="003A047F">
        <w:rPr>
          <w:b/>
        </w:rPr>
        <w:fldChar w:fldCharType="separate"/>
      </w:r>
      <w:r w:rsidR="00227590">
        <w:rPr>
          <w:b/>
          <w:noProof/>
        </w:rPr>
        <w:t>1</w:t>
      </w:r>
      <w:bookmarkEnd w:id="6"/>
      <w:r w:rsidR="003A047F" w:rsidRPr="003A047F">
        <w:rPr>
          <w:b/>
        </w:rPr>
        <w:fldChar w:fldCharType="end"/>
      </w:r>
      <w:r w:rsidRPr="003A047F">
        <w:rPr>
          <w:b/>
        </w:rPr>
        <w:t>.</w:t>
      </w:r>
      <w:r>
        <w:t xml:space="preserve"> Stochastic inputs of the simulation (Hernandez-Betancur, 2018; Hernandez-Betancur et al., 2019). </w:t>
      </w:r>
      <w:proofErr w:type="gramStart"/>
      <w:r w:rsidRPr="00227590">
        <w:rPr>
          <w:i/>
        </w:rPr>
        <w:t>U</w:t>
      </w:r>
      <w:r>
        <w:t>(</w:t>
      </w:r>
      <w:proofErr w:type="gramEnd"/>
      <w:r w:rsidRPr="00227590">
        <w:rPr>
          <w:i/>
        </w:rPr>
        <w:t>a</w:t>
      </w:r>
      <w:r>
        <w:t xml:space="preserve">, </w:t>
      </w:r>
      <w:r w:rsidRPr="00227590">
        <w:rPr>
          <w:i/>
        </w:rPr>
        <w:t>b</w:t>
      </w:r>
      <w:r>
        <w:t xml:space="preserve">) = </w:t>
      </w:r>
      <w:r w:rsidRPr="00227590">
        <w:t>uniform distribution</w:t>
      </w:r>
      <w:r>
        <w:t xml:space="preserve">; </w:t>
      </w:r>
      <w:proofErr w:type="gramStart"/>
      <w:r w:rsidRPr="00227590">
        <w:rPr>
          <w:i/>
        </w:rPr>
        <w:t>N</w:t>
      </w:r>
      <w:r>
        <w:t>(</w:t>
      </w:r>
      <w:proofErr w:type="gramEnd"/>
      <w:r w:rsidRPr="00227590">
        <w:rPr>
          <w:i/>
        </w:rPr>
        <w:t>μ</w:t>
      </w:r>
      <w:r>
        <w:t xml:space="preserve">, </w:t>
      </w:r>
      <w:r w:rsidRPr="00227590">
        <w:rPr>
          <w:i/>
        </w:rPr>
        <w:t>σ</w:t>
      </w:r>
      <w:r>
        <w:rPr>
          <w:vertAlign w:val="superscript"/>
        </w:rPr>
        <w:t>2</w:t>
      </w:r>
      <w:r>
        <w:t>) = normal distribution. The fresh-bath temperatures, the HCl concentration of the normal pickling bath, the flux pH and salt concentration, the dipping time, and the zinc bath temperature are drawn in the 2019 study but are decision variables here (</w:t>
      </w:r>
      <w:r w:rsidR="00637DD6">
        <w:fldChar w:fldCharType="begin"/>
      </w:r>
      <w:r w:rsidR="00637DD6">
        <w:instrText xml:space="preserve"> REF _RefTable2 \h \* MERGEFORMAT </w:instrText>
      </w:r>
      <w:r w:rsidR="00637DD6">
        <w:fldChar w:fldCharType="separate"/>
      </w:r>
      <w:r w:rsidR="00227590" w:rsidRPr="00227590">
        <w:t xml:space="preserve">Table </w:t>
      </w:r>
      <w:r w:rsidR="00227590" w:rsidRPr="00227590">
        <w:rPr>
          <w:noProof/>
        </w:rPr>
        <w:t>2</w:t>
      </w:r>
      <w:r w:rsidR="00637DD6">
        <w:fldChar w:fldCharType="end"/>
      </w:r>
      <w:r>
        <w:t>).</w:t>
      </w:r>
    </w:p>
    <w:tbl>
      <w:tblPr>
        <w:tblW w:w="0" w:type="auto"/>
        <w:jc w:val="center"/>
        <w:tblLayout w:type="fixed"/>
        <w:tblLook w:val="04A0" w:firstRow="1" w:lastRow="0" w:firstColumn="1" w:lastColumn="0" w:noHBand="0" w:noVBand="1"/>
      </w:tblPr>
      <w:tblGrid>
        <w:gridCol w:w="2736"/>
        <w:gridCol w:w="3024"/>
        <w:gridCol w:w="3600"/>
      </w:tblGrid>
      <w:tr w:rsidR="005E603F" w14:paraId="403CC0A6" w14:textId="77777777">
        <w:trPr>
          <w:jc w:val="center"/>
        </w:trPr>
        <w:tc>
          <w:tcPr>
            <w:tcW w:w="2736"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3C375AD8" w14:textId="77777777" w:rsidR="005E603F" w:rsidRDefault="00000000">
            <w:r>
              <w:rPr>
                <w:b/>
                <w:sz w:val="18"/>
              </w:rPr>
              <w:t>Input</w:t>
            </w:r>
          </w:p>
        </w:tc>
        <w:tc>
          <w:tcPr>
            <w:tcW w:w="3024"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32A4E451" w14:textId="77777777" w:rsidR="005E603F" w:rsidRDefault="00000000">
            <w:r>
              <w:rPr>
                <w:b/>
                <w:sz w:val="18"/>
              </w:rPr>
              <w:t>Distribution or range</w:t>
            </w:r>
          </w:p>
        </w:tc>
        <w:tc>
          <w:tcPr>
            <w:tcW w:w="3600"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7AD7B4B7" w14:textId="77777777" w:rsidR="005E603F" w:rsidRDefault="00000000">
            <w:r>
              <w:rPr>
                <w:b/>
                <w:sz w:val="18"/>
              </w:rPr>
              <w:t>Note</w:t>
            </w:r>
          </w:p>
        </w:tc>
      </w:tr>
      <w:tr w:rsidR="005E603F" w14:paraId="58295DCE" w14:textId="77777777">
        <w:trPr>
          <w:jc w:val="center"/>
        </w:trPr>
        <w:tc>
          <w:tcPr>
            <w:tcW w:w="2736" w:type="dxa"/>
            <w:tcBorders>
              <w:top w:val="nil"/>
              <w:left w:val="nil"/>
              <w:bottom w:val="nil"/>
              <w:right w:val="nil"/>
            </w:tcBorders>
            <w:tcMar>
              <w:top w:w="60" w:type="dxa"/>
              <w:left w:w="80" w:type="dxa"/>
              <w:bottom w:w="60" w:type="dxa"/>
              <w:right w:w="80" w:type="dxa"/>
            </w:tcMar>
          </w:tcPr>
          <w:p w14:paraId="75B776FE" w14:textId="77777777" w:rsidR="005E603F" w:rsidRDefault="00000000">
            <w:r>
              <w:rPr>
                <w:sz w:val="18"/>
              </w:rPr>
              <w:t>Product family of each lot</w:t>
            </w:r>
          </w:p>
        </w:tc>
        <w:tc>
          <w:tcPr>
            <w:tcW w:w="3024" w:type="dxa"/>
            <w:tcBorders>
              <w:top w:val="nil"/>
              <w:left w:val="nil"/>
              <w:bottom w:val="nil"/>
              <w:right w:val="nil"/>
            </w:tcBorders>
            <w:tcMar>
              <w:top w:w="60" w:type="dxa"/>
              <w:left w:w="80" w:type="dxa"/>
              <w:bottom w:w="60" w:type="dxa"/>
              <w:right w:w="80" w:type="dxa"/>
            </w:tcMar>
          </w:tcPr>
          <w:p w14:paraId="1A5CF48C" w14:textId="77777777" w:rsidR="005E603F" w:rsidRDefault="00000000">
            <w:r>
              <w:rPr>
                <w:sz w:val="18"/>
              </w:rPr>
              <w:t>10 families, probabilities 0.054 to 0.291</w:t>
            </w:r>
          </w:p>
        </w:tc>
        <w:tc>
          <w:tcPr>
            <w:tcW w:w="3600" w:type="dxa"/>
            <w:tcBorders>
              <w:top w:val="nil"/>
              <w:left w:val="nil"/>
              <w:bottom w:val="nil"/>
              <w:right w:val="nil"/>
            </w:tcBorders>
            <w:tcMar>
              <w:top w:w="60" w:type="dxa"/>
              <w:left w:w="80" w:type="dxa"/>
              <w:bottom w:w="60" w:type="dxa"/>
              <w:right w:w="80" w:type="dxa"/>
            </w:tcMar>
          </w:tcPr>
          <w:p w14:paraId="7B1E6583" w14:textId="77777777" w:rsidR="005E603F" w:rsidRDefault="00000000">
            <w:r>
              <w:rPr>
                <w:sz w:val="18"/>
              </w:rPr>
              <w:t>Lot size 46 to 111,600 pieces and piece mass 0.009 to 0.123 kg, uniform within each family</w:t>
            </w:r>
          </w:p>
        </w:tc>
      </w:tr>
      <w:tr w:rsidR="005E603F" w14:paraId="4F9C3EAC" w14:textId="77777777">
        <w:trPr>
          <w:jc w:val="center"/>
        </w:trPr>
        <w:tc>
          <w:tcPr>
            <w:tcW w:w="2736" w:type="dxa"/>
            <w:tcBorders>
              <w:top w:val="nil"/>
              <w:left w:val="nil"/>
              <w:bottom w:val="nil"/>
              <w:right w:val="nil"/>
            </w:tcBorders>
            <w:tcMar>
              <w:top w:w="60" w:type="dxa"/>
              <w:left w:w="80" w:type="dxa"/>
              <w:bottom w:w="60" w:type="dxa"/>
              <w:right w:w="80" w:type="dxa"/>
            </w:tcMar>
          </w:tcPr>
          <w:p w14:paraId="46009468" w14:textId="77777777" w:rsidR="005E603F" w:rsidRDefault="00000000">
            <w:r>
              <w:rPr>
                <w:sz w:val="18"/>
              </w:rPr>
              <w:t>Gauge of each piece</w:t>
            </w:r>
          </w:p>
        </w:tc>
        <w:tc>
          <w:tcPr>
            <w:tcW w:w="3024" w:type="dxa"/>
            <w:tcBorders>
              <w:top w:val="nil"/>
              <w:left w:val="nil"/>
              <w:bottom w:val="nil"/>
              <w:right w:val="nil"/>
            </w:tcBorders>
            <w:tcMar>
              <w:top w:w="60" w:type="dxa"/>
              <w:left w:w="80" w:type="dxa"/>
              <w:bottom w:w="60" w:type="dxa"/>
              <w:right w:w="80" w:type="dxa"/>
            </w:tcMar>
          </w:tcPr>
          <w:p w14:paraId="1F4A3B31" w14:textId="77777777" w:rsidR="005E603F" w:rsidRDefault="00000000">
            <w:proofErr w:type="gramStart"/>
            <w:r>
              <w:rPr>
                <w:i/>
                <w:sz w:val="18"/>
              </w:rPr>
              <w:t>U</w:t>
            </w:r>
            <w:r>
              <w:rPr>
                <w:sz w:val="18"/>
              </w:rPr>
              <w:t>(</w:t>
            </w:r>
            <w:proofErr w:type="gramEnd"/>
            <w:r>
              <w:rPr>
                <w:sz w:val="18"/>
              </w:rPr>
              <w:t>0.3, 32) mm</w:t>
            </w:r>
          </w:p>
        </w:tc>
        <w:tc>
          <w:tcPr>
            <w:tcW w:w="3600" w:type="dxa"/>
            <w:tcBorders>
              <w:top w:val="nil"/>
              <w:left w:val="nil"/>
              <w:bottom w:val="nil"/>
              <w:right w:val="nil"/>
            </w:tcBorders>
            <w:tcMar>
              <w:top w:w="60" w:type="dxa"/>
              <w:left w:w="80" w:type="dxa"/>
              <w:bottom w:w="60" w:type="dxa"/>
              <w:right w:w="80" w:type="dxa"/>
            </w:tcMar>
          </w:tcPr>
          <w:p w14:paraId="7DCD7F5E" w14:textId="77777777" w:rsidR="005E603F" w:rsidRDefault="00000000">
            <w:r>
              <w:rPr>
                <w:sz w:val="18"/>
              </w:rPr>
              <w:t>Sets the ISO 1461 thickness requirement</w:t>
            </w:r>
          </w:p>
        </w:tc>
      </w:tr>
      <w:tr w:rsidR="005E603F" w14:paraId="18CE1260" w14:textId="77777777">
        <w:trPr>
          <w:jc w:val="center"/>
        </w:trPr>
        <w:tc>
          <w:tcPr>
            <w:tcW w:w="2736" w:type="dxa"/>
            <w:tcBorders>
              <w:top w:val="nil"/>
              <w:left w:val="nil"/>
              <w:bottom w:val="nil"/>
              <w:right w:val="nil"/>
            </w:tcBorders>
            <w:tcMar>
              <w:top w:w="60" w:type="dxa"/>
              <w:left w:w="80" w:type="dxa"/>
              <w:bottom w:w="60" w:type="dxa"/>
              <w:right w:w="80" w:type="dxa"/>
            </w:tcMar>
          </w:tcPr>
          <w:p w14:paraId="381D1A30" w14:textId="77777777" w:rsidR="005E603F" w:rsidRDefault="00000000">
            <w:r>
              <w:rPr>
                <w:sz w:val="18"/>
              </w:rPr>
              <w:lastRenderedPageBreak/>
              <w:t>Silicon content of the steel</w:t>
            </w:r>
          </w:p>
        </w:tc>
        <w:tc>
          <w:tcPr>
            <w:tcW w:w="3024" w:type="dxa"/>
            <w:tcBorders>
              <w:top w:val="nil"/>
              <w:left w:val="nil"/>
              <w:bottom w:val="nil"/>
              <w:right w:val="nil"/>
            </w:tcBorders>
            <w:tcMar>
              <w:top w:w="60" w:type="dxa"/>
              <w:left w:w="80" w:type="dxa"/>
              <w:bottom w:w="60" w:type="dxa"/>
              <w:right w:w="80" w:type="dxa"/>
            </w:tcMar>
          </w:tcPr>
          <w:p w14:paraId="4F8264C6" w14:textId="77777777" w:rsidR="005E603F" w:rsidRDefault="00000000">
            <w:proofErr w:type="gramStart"/>
            <w:r>
              <w:rPr>
                <w:i/>
                <w:sz w:val="18"/>
              </w:rPr>
              <w:t>U</w:t>
            </w:r>
            <w:r>
              <w:rPr>
                <w:sz w:val="18"/>
              </w:rPr>
              <w:t>(</w:t>
            </w:r>
            <w:proofErr w:type="gramEnd"/>
            <w:r>
              <w:rPr>
                <w:sz w:val="18"/>
              </w:rPr>
              <w:t xml:space="preserve">0.15, 0.25) </w:t>
            </w:r>
            <w:proofErr w:type="spellStart"/>
            <w:r>
              <w:rPr>
                <w:sz w:val="18"/>
              </w:rPr>
              <w:t>wt</w:t>
            </w:r>
            <w:proofErr w:type="spellEnd"/>
            <w:r>
              <w:rPr>
                <w:sz w:val="18"/>
              </w:rPr>
              <w:t>%</w:t>
            </w:r>
          </w:p>
        </w:tc>
        <w:tc>
          <w:tcPr>
            <w:tcW w:w="3600" w:type="dxa"/>
            <w:tcBorders>
              <w:top w:val="nil"/>
              <w:left w:val="nil"/>
              <w:bottom w:val="nil"/>
              <w:right w:val="nil"/>
            </w:tcBorders>
            <w:tcMar>
              <w:top w:w="60" w:type="dxa"/>
              <w:left w:w="80" w:type="dxa"/>
              <w:bottom w:w="60" w:type="dxa"/>
              <w:right w:w="80" w:type="dxa"/>
            </w:tcMar>
          </w:tcPr>
          <w:p w14:paraId="5860E8C1" w14:textId="77777777" w:rsidR="005E603F" w:rsidRDefault="00000000">
            <w:r>
              <w:rPr>
                <w:sz w:val="18"/>
              </w:rPr>
              <w:t>Controls the thickness of the zinc coating</w:t>
            </w:r>
          </w:p>
        </w:tc>
      </w:tr>
      <w:tr w:rsidR="005E603F" w14:paraId="67BC81AB" w14:textId="77777777">
        <w:trPr>
          <w:jc w:val="center"/>
        </w:trPr>
        <w:tc>
          <w:tcPr>
            <w:tcW w:w="2736" w:type="dxa"/>
            <w:tcBorders>
              <w:top w:val="nil"/>
              <w:left w:val="nil"/>
              <w:bottom w:val="nil"/>
              <w:right w:val="nil"/>
            </w:tcBorders>
            <w:tcMar>
              <w:top w:w="60" w:type="dxa"/>
              <w:left w:w="80" w:type="dxa"/>
              <w:bottom w:w="60" w:type="dxa"/>
              <w:right w:w="80" w:type="dxa"/>
            </w:tcMar>
          </w:tcPr>
          <w:p w14:paraId="34A3B3AF" w14:textId="77777777" w:rsidR="005E603F" w:rsidRDefault="00000000">
            <w:r>
              <w:rPr>
                <w:sz w:val="18"/>
              </w:rPr>
              <w:t>Rust load</w:t>
            </w:r>
          </w:p>
        </w:tc>
        <w:tc>
          <w:tcPr>
            <w:tcW w:w="3024" w:type="dxa"/>
            <w:tcBorders>
              <w:top w:val="nil"/>
              <w:left w:val="nil"/>
              <w:bottom w:val="nil"/>
              <w:right w:val="nil"/>
            </w:tcBorders>
            <w:tcMar>
              <w:top w:w="60" w:type="dxa"/>
              <w:left w:w="80" w:type="dxa"/>
              <w:bottom w:w="60" w:type="dxa"/>
              <w:right w:w="80" w:type="dxa"/>
            </w:tcMar>
          </w:tcPr>
          <w:p w14:paraId="07310D01" w14:textId="77777777" w:rsidR="005E603F" w:rsidRDefault="00000000">
            <w:proofErr w:type="gramStart"/>
            <w:r>
              <w:rPr>
                <w:i/>
                <w:sz w:val="18"/>
              </w:rPr>
              <w:t>U</w:t>
            </w:r>
            <w:r>
              <w:rPr>
                <w:sz w:val="18"/>
              </w:rPr>
              <w:t>(</w:t>
            </w:r>
            <w:proofErr w:type="gramEnd"/>
            <w:r>
              <w:rPr>
                <w:sz w:val="18"/>
              </w:rPr>
              <w:t>300, 590) g/m</w:t>
            </w:r>
            <w:r>
              <w:rPr>
                <w:sz w:val="18"/>
                <w:vertAlign w:val="superscript"/>
              </w:rPr>
              <w:t>2</w:t>
            </w:r>
          </w:p>
        </w:tc>
        <w:tc>
          <w:tcPr>
            <w:tcW w:w="3600" w:type="dxa"/>
            <w:tcBorders>
              <w:top w:val="nil"/>
              <w:left w:val="nil"/>
              <w:bottom w:val="nil"/>
              <w:right w:val="nil"/>
            </w:tcBorders>
            <w:tcMar>
              <w:top w:w="60" w:type="dxa"/>
              <w:left w:w="80" w:type="dxa"/>
              <w:bottom w:w="60" w:type="dxa"/>
              <w:right w:w="80" w:type="dxa"/>
            </w:tcMar>
          </w:tcPr>
          <w:p w14:paraId="7FCC9D53" w14:textId="77777777" w:rsidR="005E603F" w:rsidRDefault="00000000">
            <w:r>
              <w:rPr>
                <w:sz w:val="18"/>
              </w:rPr>
              <w:t>Per unit of piece surface</w:t>
            </w:r>
          </w:p>
        </w:tc>
      </w:tr>
      <w:tr w:rsidR="005E603F" w14:paraId="66A460F3" w14:textId="77777777">
        <w:trPr>
          <w:jc w:val="center"/>
        </w:trPr>
        <w:tc>
          <w:tcPr>
            <w:tcW w:w="2736" w:type="dxa"/>
            <w:tcBorders>
              <w:top w:val="nil"/>
              <w:left w:val="nil"/>
              <w:bottom w:val="nil"/>
              <w:right w:val="nil"/>
            </w:tcBorders>
            <w:tcMar>
              <w:top w:w="60" w:type="dxa"/>
              <w:left w:w="80" w:type="dxa"/>
              <w:bottom w:w="60" w:type="dxa"/>
              <w:right w:w="80" w:type="dxa"/>
            </w:tcMar>
          </w:tcPr>
          <w:p w14:paraId="45C77B60" w14:textId="77777777" w:rsidR="005E603F" w:rsidRDefault="00000000">
            <w:r>
              <w:rPr>
                <w:sz w:val="18"/>
              </w:rPr>
              <w:t>Pieces that need degreasing</w:t>
            </w:r>
          </w:p>
        </w:tc>
        <w:tc>
          <w:tcPr>
            <w:tcW w:w="3024" w:type="dxa"/>
            <w:tcBorders>
              <w:top w:val="nil"/>
              <w:left w:val="nil"/>
              <w:bottom w:val="nil"/>
              <w:right w:val="nil"/>
            </w:tcBorders>
            <w:tcMar>
              <w:top w:w="60" w:type="dxa"/>
              <w:left w:w="80" w:type="dxa"/>
              <w:bottom w:w="60" w:type="dxa"/>
              <w:right w:w="80" w:type="dxa"/>
            </w:tcMar>
          </w:tcPr>
          <w:p w14:paraId="10D4EE31" w14:textId="77777777" w:rsidR="005E603F" w:rsidRDefault="00000000">
            <w:r>
              <w:rPr>
                <w:sz w:val="18"/>
              </w:rPr>
              <w:t>30% of the pieces</w:t>
            </w:r>
          </w:p>
        </w:tc>
        <w:tc>
          <w:tcPr>
            <w:tcW w:w="3600" w:type="dxa"/>
            <w:tcBorders>
              <w:top w:val="nil"/>
              <w:left w:val="nil"/>
              <w:bottom w:val="nil"/>
              <w:right w:val="nil"/>
            </w:tcBorders>
            <w:tcMar>
              <w:top w:w="60" w:type="dxa"/>
              <w:left w:w="80" w:type="dxa"/>
              <w:bottom w:w="60" w:type="dxa"/>
              <w:right w:w="80" w:type="dxa"/>
            </w:tcMar>
          </w:tcPr>
          <w:p w14:paraId="53C278E2" w14:textId="77777777" w:rsidR="005E603F" w:rsidRDefault="00000000">
            <w:r>
              <w:rPr>
                <w:sz w:val="18"/>
              </w:rPr>
              <w:t xml:space="preserve">Grease and oil: 10 g per </w:t>
            </w:r>
            <w:proofErr w:type="spellStart"/>
            <w:r>
              <w:rPr>
                <w:sz w:val="18"/>
              </w:rPr>
              <w:t>tonne</w:t>
            </w:r>
            <w:proofErr w:type="spellEnd"/>
            <w:r>
              <w:rPr>
                <w:sz w:val="18"/>
              </w:rPr>
              <w:t xml:space="preserve"> of steel</w:t>
            </w:r>
          </w:p>
        </w:tc>
      </w:tr>
      <w:tr w:rsidR="005E603F" w14:paraId="77E28236" w14:textId="77777777">
        <w:trPr>
          <w:jc w:val="center"/>
        </w:trPr>
        <w:tc>
          <w:tcPr>
            <w:tcW w:w="2736" w:type="dxa"/>
            <w:tcBorders>
              <w:top w:val="nil"/>
              <w:left w:val="nil"/>
              <w:bottom w:val="nil"/>
              <w:right w:val="nil"/>
            </w:tcBorders>
            <w:tcMar>
              <w:top w:w="60" w:type="dxa"/>
              <w:left w:w="80" w:type="dxa"/>
              <w:bottom w:w="60" w:type="dxa"/>
              <w:right w:w="80" w:type="dxa"/>
            </w:tcMar>
          </w:tcPr>
          <w:p w14:paraId="4B2824DE" w14:textId="77777777" w:rsidR="005E603F" w:rsidRDefault="00000000">
            <w:r>
              <w:rPr>
                <w:sz w:val="18"/>
              </w:rPr>
              <w:t>Ambient temperature</w:t>
            </w:r>
          </w:p>
        </w:tc>
        <w:tc>
          <w:tcPr>
            <w:tcW w:w="3024" w:type="dxa"/>
            <w:tcBorders>
              <w:top w:val="nil"/>
              <w:left w:val="nil"/>
              <w:bottom w:val="nil"/>
              <w:right w:val="nil"/>
            </w:tcBorders>
            <w:tcMar>
              <w:top w:w="60" w:type="dxa"/>
              <w:left w:w="80" w:type="dxa"/>
              <w:bottom w:w="60" w:type="dxa"/>
              <w:right w:w="80" w:type="dxa"/>
            </w:tcMar>
          </w:tcPr>
          <w:p w14:paraId="5E1B2347" w14:textId="77777777" w:rsidR="005E603F" w:rsidRDefault="00000000">
            <w:proofErr w:type="gramStart"/>
            <w:r>
              <w:rPr>
                <w:i/>
                <w:sz w:val="18"/>
              </w:rPr>
              <w:t>N</w:t>
            </w:r>
            <w:r>
              <w:rPr>
                <w:sz w:val="18"/>
              </w:rPr>
              <w:t>(</w:t>
            </w:r>
            <w:proofErr w:type="gramEnd"/>
            <w:r>
              <w:rPr>
                <w:sz w:val="18"/>
              </w:rPr>
              <w:t>22, 2</w:t>
            </w:r>
            <w:r>
              <w:rPr>
                <w:sz w:val="18"/>
                <w:vertAlign w:val="superscript"/>
              </w:rPr>
              <w:t>2</w:t>
            </w:r>
            <w:r>
              <w:rPr>
                <w:sz w:val="18"/>
              </w:rPr>
              <w:t>) °C</w:t>
            </w:r>
          </w:p>
        </w:tc>
        <w:tc>
          <w:tcPr>
            <w:tcW w:w="3600" w:type="dxa"/>
            <w:tcBorders>
              <w:top w:val="nil"/>
              <w:left w:val="nil"/>
              <w:bottom w:val="nil"/>
              <w:right w:val="nil"/>
            </w:tcBorders>
            <w:tcMar>
              <w:top w:w="60" w:type="dxa"/>
              <w:left w:w="80" w:type="dxa"/>
              <w:bottom w:w="60" w:type="dxa"/>
              <w:right w:w="80" w:type="dxa"/>
            </w:tcMar>
          </w:tcPr>
          <w:p w14:paraId="52253156" w14:textId="77777777" w:rsidR="005E603F" w:rsidRDefault="00000000">
            <w:r>
              <w:rPr>
                <w:sz w:val="18"/>
              </w:rPr>
              <w:t>Drawn for every lot</w:t>
            </w:r>
          </w:p>
        </w:tc>
      </w:tr>
      <w:tr w:rsidR="005E603F" w14:paraId="214390FE" w14:textId="77777777">
        <w:trPr>
          <w:jc w:val="center"/>
        </w:trPr>
        <w:tc>
          <w:tcPr>
            <w:tcW w:w="2736" w:type="dxa"/>
            <w:tcBorders>
              <w:top w:val="nil"/>
              <w:left w:val="nil"/>
              <w:bottom w:val="nil"/>
              <w:right w:val="nil"/>
            </w:tcBorders>
            <w:tcMar>
              <w:top w:w="60" w:type="dxa"/>
              <w:left w:w="80" w:type="dxa"/>
              <w:bottom w:w="60" w:type="dxa"/>
              <w:right w:w="80" w:type="dxa"/>
            </w:tcMar>
          </w:tcPr>
          <w:p w14:paraId="47AA46E1" w14:textId="77777777" w:rsidR="005E603F" w:rsidRDefault="00000000">
            <w:r>
              <w:rPr>
                <w:sz w:val="18"/>
              </w:rPr>
              <w:t>Fresh bath volume</w:t>
            </w:r>
          </w:p>
        </w:tc>
        <w:tc>
          <w:tcPr>
            <w:tcW w:w="3024" w:type="dxa"/>
            <w:tcBorders>
              <w:top w:val="nil"/>
              <w:left w:val="nil"/>
              <w:bottom w:val="nil"/>
              <w:right w:val="nil"/>
            </w:tcBorders>
            <w:tcMar>
              <w:top w:w="60" w:type="dxa"/>
              <w:left w:w="80" w:type="dxa"/>
              <w:bottom w:w="60" w:type="dxa"/>
              <w:right w:w="80" w:type="dxa"/>
            </w:tcMar>
          </w:tcPr>
          <w:p w14:paraId="6A6E09EA" w14:textId="77777777" w:rsidR="005E603F" w:rsidRDefault="00000000">
            <w:proofErr w:type="gramStart"/>
            <w:r>
              <w:rPr>
                <w:i/>
                <w:sz w:val="18"/>
              </w:rPr>
              <w:t>U</w:t>
            </w:r>
            <w:r>
              <w:rPr>
                <w:sz w:val="18"/>
              </w:rPr>
              <w:t>(</w:t>
            </w:r>
            <w:proofErr w:type="gramEnd"/>
            <w:r>
              <w:rPr>
                <w:sz w:val="18"/>
              </w:rPr>
              <w:t>12.6, 14.0) m</w:t>
            </w:r>
            <w:r>
              <w:rPr>
                <w:sz w:val="18"/>
                <w:vertAlign w:val="superscript"/>
              </w:rPr>
              <w:t>3</w:t>
            </w:r>
          </w:p>
        </w:tc>
        <w:tc>
          <w:tcPr>
            <w:tcW w:w="3600" w:type="dxa"/>
            <w:tcBorders>
              <w:top w:val="nil"/>
              <w:left w:val="nil"/>
              <w:bottom w:val="nil"/>
              <w:right w:val="nil"/>
            </w:tcBorders>
            <w:tcMar>
              <w:top w:w="60" w:type="dxa"/>
              <w:left w:w="80" w:type="dxa"/>
              <w:bottom w:w="60" w:type="dxa"/>
              <w:right w:w="80" w:type="dxa"/>
            </w:tcMar>
          </w:tcPr>
          <w:p w14:paraId="1A7F5098" w14:textId="77777777" w:rsidR="005E603F" w:rsidRDefault="00000000">
            <w:r>
              <w:rPr>
                <w:sz w:val="18"/>
              </w:rPr>
              <w:t>Degreasing, pickling, and flux tanks</w:t>
            </w:r>
          </w:p>
        </w:tc>
      </w:tr>
      <w:tr w:rsidR="005E603F" w14:paraId="014CD305" w14:textId="77777777">
        <w:trPr>
          <w:jc w:val="center"/>
        </w:trPr>
        <w:tc>
          <w:tcPr>
            <w:tcW w:w="2736" w:type="dxa"/>
            <w:tcBorders>
              <w:top w:val="nil"/>
              <w:left w:val="nil"/>
              <w:bottom w:val="nil"/>
              <w:right w:val="nil"/>
            </w:tcBorders>
            <w:tcMar>
              <w:top w:w="60" w:type="dxa"/>
              <w:left w:w="80" w:type="dxa"/>
              <w:bottom w:w="60" w:type="dxa"/>
              <w:right w:w="80" w:type="dxa"/>
            </w:tcMar>
          </w:tcPr>
          <w:p w14:paraId="381E1579" w14:textId="77777777" w:rsidR="005E603F" w:rsidRDefault="00000000">
            <w:r>
              <w:rPr>
                <w:sz w:val="18"/>
              </w:rPr>
              <w:t>NaOH, fresh degreasing bath</w:t>
            </w:r>
          </w:p>
        </w:tc>
        <w:tc>
          <w:tcPr>
            <w:tcW w:w="3024" w:type="dxa"/>
            <w:tcBorders>
              <w:top w:val="nil"/>
              <w:left w:val="nil"/>
              <w:bottom w:val="nil"/>
              <w:right w:val="nil"/>
            </w:tcBorders>
            <w:tcMar>
              <w:top w:w="60" w:type="dxa"/>
              <w:left w:w="80" w:type="dxa"/>
              <w:bottom w:w="60" w:type="dxa"/>
              <w:right w:w="80" w:type="dxa"/>
            </w:tcMar>
          </w:tcPr>
          <w:p w14:paraId="752A9B72" w14:textId="77777777" w:rsidR="005E603F" w:rsidRDefault="00000000">
            <w:proofErr w:type="gramStart"/>
            <w:r>
              <w:rPr>
                <w:i/>
                <w:sz w:val="18"/>
              </w:rPr>
              <w:t>U</w:t>
            </w:r>
            <w:r>
              <w:rPr>
                <w:sz w:val="18"/>
              </w:rPr>
              <w:t>(</w:t>
            </w:r>
            <w:proofErr w:type="gramEnd"/>
            <w:r>
              <w:rPr>
                <w:sz w:val="18"/>
              </w:rPr>
              <w:t xml:space="preserve">14, 16) </w:t>
            </w:r>
            <w:proofErr w:type="spellStart"/>
            <w:r>
              <w:rPr>
                <w:sz w:val="18"/>
              </w:rPr>
              <w:t>wt</w:t>
            </w:r>
            <w:proofErr w:type="spellEnd"/>
            <w:r>
              <w:rPr>
                <w:sz w:val="18"/>
              </w:rPr>
              <w:t>%</w:t>
            </w:r>
          </w:p>
        </w:tc>
        <w:tc>
          <w:tcPr>
            <w:tcW w:w="3600" w:type="dxa"/>
            <w:tcBorders>
              <w:top w:val="nil"/>
              <w:left w:val="nil"/>
              <w:bottom w:val="nil"/>
              <w:right w:val="nil"/>
            </w:tcBorders>
            <w:tcMar>
              <w:top w:w="60" w:type="dxa"/>
              <w:left w:w="80" w:type="dxa"/>
              <w:bottom w:w="60" w:type="dxa"/>
              <w:right w:w="80" w:type="dxa"/>
            </w:tcMar>
          </w:tcPr>
          <w:p w14:paraId="7E9A521B" w14:textId="5DE261B1" w:rsidR="005E603F" w:rsidRDefault="00000000">
            <w:r>
              <w:rPr>
                <w:sz w:val="18"/>
              </w:rPr>
              <w:t xml:space="preserve">Temperature is </w:t>
            </w:r>
            <w:r w:rsidRPr="00227590">
              <w:rPr>
                <w:i/>
                <w:sz w:val="18"/>
              </w:rPr>
              <w:t>x</w:t>
            </w:r>
            <w:r>
              <w:rPr>
                <w:sz w:val="18"/>
                <w:vertAlign w:val="subscript"/>
              </w:rPr>
              <w:t>1</w:t>
            </w:r>
            <w:r>
              <w:rPr>
                <w:sz w:val="18"/>
              </w:rPr>
              <w:t xml:space="preserve"> (</w:t>
            </w:r>
            <w:r w:rsidR="00637DD6">
              <w:rPr>
                <w:sz w:val="18"/>
              </w:rPr>
              <w:fldChar w:fldCharType="begin"/>
            </w:r>
            <w:r w:rsidR="00637DD6">
              <w:rPr>
                <w:sz w:val="18"/>
              </w:rPr>
              <w:instrText xml:space="preserve"> REF _RefTable2 \h \* MERGEFORMAT </w:instrText>
            </w:r>
            <w:r w:rsidR="00637DD6">
              <w:rPr>
                <w:sz w:val="18"/>
              </w:rPr>
            </w:r>
            <w:r w:rsidR="00637DD6">
              <w:rPr>
                <w:sz w:val="18"/>
              </w:rPr>
              <w:fldChar w:fldCharType="separate"/>
            </w:r>
            <w:r w:rsidR="00227590" w:rsidRPr="00227590">
              <w:rPr>
                <w:color w:val="000000"/>
                <w:sz w:val="18"/>
              </w:rPr>
              <w:t xml:space="preserve">Table </w:t>
            </w:r>
            <w:r w:rsidR="00227590" w:rsidRPr="00227590">
              <w:rPr>
                <w:noProof/>
                <w:color w:val="000000"/>
                <w:sz w:val="18"/>
              </w:rPr>
              <w:t>2</w:t>
            </w:r>
            <w:r w:rsidR="00637DD6">
              <w:rPr>
                <w:sz w:val="18"/>
              </w:rPr>
              <w:fldChar w:fldCharType="end"/>
            </w:r>
            <w:r>
              <w:rPr>
                <w:sz w:val="18"/>
              </w:rPr>
              <w:t>)</w:t>
            </w:r>
          </w:p>
        </w:tc>
      </w:tr>
      <w:tr w:rsidR="005E603F" w14:paraId="1FEF91AD" w14:textId="77777777">
        <w:trPr>
          <w:jc w:val="center"/>
        </w:trPr>
        <w:tc>
          <w:tcPr>
            <w:tcW w:w="2736" w:type="dxa"/>
            <w:tcBorders>
              <w:top w:val="nil"/>
              <w:left w:val="nil"/>
              <w:bottom w:val="nil"/>
              <w:right w:val="nil"/>
            </w:tcBorders>
            <w:tcMar>
              <w:top w:w="60" w:type="dxa"/>
              <w:left w:w="80" w:type="dxa"/>
              <w:bottom w:w="60" w:type="dxa"/>
              <w:right w:w="80" w:type="dxa"/>
            </w:tcMar>
          </w:tcPr>
          <w:p w14:paraId="7B480802" w14:textId="77777777" w:rsidR="005E603F" w:rsidRDefault="00000000">
            <w:r>
              <w:rPr>
                <w:sz w:val="18"/>
              </w:rPr>
              <w:t>HCl, fresh dezincification bath</w:t>
            </w:r>
          </w:p>
        </w:tc>
        <w:tc>
          <w:tcPr>
            <w:tcW w:w="3024" w:type="dxa"/>
            <w:tcBorders>
              <w:top w:val="nil"/>
              <w:left w:val="nil"/>
              <w:bottom w:val="nil"/>
              <w:right w:val="nil"/>
            </w:tcBorders>
            <w:tcMar>
              <w:top w:w="60" w:type="dxa"/>
              <w:left w:w="80" w:type="dxa"/>
              <w:bottom w:w="60" w:type="dxa"/>
              <w:right w:w="80" w:type="dxa"/>
            </w:tcMar>
          </w:tcPr>
          <w:p w14:paraId="1568207A" w14:textId="77777777" w:rsidR="005E603F" w:rsidRDefault="00000000">
            <w:proofErr w:type="gramStart"/>
            <w:r>
              <w:rPr>
                <w:i/>
                <w:sz w:val="18"/>
              </w:rPr>
              <w:t>U</w:t>
            </w:r>
            <w:r>
              <w:rPr>
                <w:sz w:val="18"/>
              </w:rPr>
              <w:t>(</w:t>
            </w:r>
            <w:proofErr w:type="gramEnd"/>
            <w:r>
              <w:rPr>
                <w:sz w:val="18"/>
              </w:rPr>
              <w:t xml:space="preserve">2, 4) </w:t>
            </w:r>
            <w:proofErr w:type="spellStart"/>
            <w:r>
              <w:rPr>
                <w:sz w:val="18"/>
              </w:rPr>
              <w:t>wt</w:t>
            </w:r>
            <w:proofErr w:type="spellEnd"/>
            <w:r>
              <w:rPr>
                <w:sz w:val="18"/>
              </w:rPr>
              <w:t>%</w:t>
            </w:r>
          </w:p>
        </w:tc>
        <w:tc>
          <w:tcPr>
            <w:tcW w:w="3600" w:type="dxa"/>
            <w:tcBorders>
              <w:top w:val="nil"/>
              <w:left w:val="nil"/>
              <w:bottom w:val="nil"/>
              <w:right w:val="nil"/>
            </w:tcBorders>
            <w:tcMar>
              <w:top w:w="60" w:type="dxa"/>
              <w:left w:w="80" w:type="dxa"/>
              <w:bottom w:w="60" w:type="dxa"/>
              <w:right w:w="80" w:type="dxa"/>
            </w:tcMar>
          </w:tcPr>
          <w:p w14:paraId="56B2AEFA" w14:textId="77777777" w:rsidR="005E603F" w:rsidRDefault="00000000">
            <w:r>
              <w:rPr>
                <w:sz w:val="18"/>
              </w:rPr>
              <w:t xml:space="preserve">Normal pickling bath: </w:t>
            </w:r>
            <w:r w:rsidRPr="00227590">
              <w:rPr>
                <w:i/>
                <w:sz w:val="18"/>
              </w:rPr>
              <w:t>x</w:t>
            </w:r>
            <w:r w:rsidRPr="00227590">
              <w:rPr>
                <w:sz w:val="18"/>
                <w:vertAlign w:val="subscript"/>
              </w:rPr>
              <w:t>2</w:t>
            </w:r>
          </w:p>
        </w:tc>
      </w:tr>
      <w:tr w:rsidR="005E603F" w14:paraId="620AE8E9" w14:textId="77777777">
        <w:trPr>
          <w:jc w:val="center"/>
        </w:trPr>
        <w:tc>
          <w:tcPr>
            <w:tcW w:w="2736" w:type="dxa"/>
            <w:tcBorders>
              <w:top w:val="nil"/>
              <w:left w:val="nil"/>
              <w:bottom w:val="nil"/>
              <w:right w:val="nil"/>
            </w:tcBorders>
            <w:tcMar>
              <w:top w:w="60" w:type="dxa"/>
              <w:left w:w="80" w:type="dxa"/>
              <w:bottom w:w="60" w:type="dxa"/>
              <w:right w:w="80" w:type="dxa"/>
            </w:tcMar>
          </w:tcPr>
          <w:p w14:paraId="44B4600E" w14:textId="77777777" w:rsidR="005E603F" w:rsidRDefault="00000000">
            <w:r>
              <w:rPr>
                <w:sz w:val="18"/>
              </w:rPr>
              <w:t>Dross and ash</w:t>
            </w:r>
          </w:p>
        </w:tc>
        <w:tc>
          <w:tcPr>
            <w:tcW w:w="3024" w:type="dxa"/>
            <w:tcBorders>
              <w:top w:val="nil"/>
              <w:left w:val="nil"/>
              <w:bottom w:val="nil"/>
              <w:right w:val="nil"/>
            </w:tcBorders>
            <w:tcMar>
              <w:top w:w="60" w:type="dxa"/>
              <w:left w:w="80" w:type="dxa"/>
              <w:bottom w:w="60" w:type="dxa"/>
              <w:right w:w="80" w:type="dxa"/>
            </w:tcMar>
          </w:tcPr>
          <w:p w14:paraId="56D5DA7E" w14:textId="77777777" w:rsidR="005E603F" w:rsidRDefault="00000000">
            <w:proofErr w:type="gramStart"/>
            <w:r>
              <w:rPr>
                <w:i/>
                <w:sz w:val="18"/>
              </w:rPr>
              <w:t>N</w:t>
            </w:r>
            <w:r>
              <w:rPr>
                <w:sz w:val="18"/>
              </w:rPr>
              <w:t>(</w:t>
            </w:r>
            <w:proofErr w:type="gramEnd"/>
            <w:r>
              <w:rPr>
                <w:sz w:val="18"/>
              </w:rPr>
              <w:t>0.75, 0.083</w:t>
            </w:r>
            <w:r>
              <w:rPr>
                <w:sz w:val="18"/>
                <w:vertAlign w:val="superscript"/>
              </w:rPr>
              <w:t>2</w:t>
            </w:r>
            <w:r>
              <w:rPr>
                <w:sz w:val="18"/>
              </w:rPr>
              <w:t xml:space="preserve">) </w:t>
            </w:r>
            <w:proofErr w:type="spellStart"/>
            <w:r>
              <w:rPr>
                <w:sz w:val="18"/>
              </w:rPr>
              <w:t>wt</w:t>
            </w:r>
            <w:proofErr w:type="spellEnd"/>
            <w:r>
              <w:rPr>
                <w:sz w:val="18"/>
              </w:rPr>
              <w:t>% of the dipped steel each</w:t>
            </w:r>
          </w:p>
        </w:tc>
        <w:tc>
          <w:tcPr>
            <w:tcW w:w="3600" w:type="dxa"/>
            <w:tcBorders>
              <w:top w:val="nil"/>
              <w:left w:val="nil"/>
              <w:bottom w:val="nil"/>
              <w:right w:val="nil"/>
            </w:tcBorders>
            <w:tcMar>
              <w:top w:w="60" w:type="dxa"/>
              <w:left w:w="80" w:type="dxa"/>
              <w:bottom w:w="60" w:type="dxa"/>
              <w:right w:w="80" w:type="dxa"/>
            </w:tcMar>
          </w:tcPr>
          <w:p w14:paraId="652BF2B5" w14:textId="77777777" w:rsidR="005E603F" w:rsidRDefault="00000000">
            <w:r>
              <w:rPr>
                <w:sz w:val="18"/>
              </w:rPr>
              <w:t xml:space="preserve">Zinc content: 95 </w:t>
            </w:r>
            <w:proofErr w:type="spellStart"/>
            <w:r>
              <w:rPr>
                <w:sz w:val="18"/>
              </w:rPr>
              <w:t>wt</w:t>
            </w:r>
            <w:proofErr w:type="spellEnd"/>
            <w:r>
              <w:rPr>
                <w:sz w:val="18"/>
              </w:rPr>
              <w:t xml:space="preserve">% in dross and 72.5 </w:t>
            </w:r>
            <w:proofErr w:type="spellStart"/>
            <w:r>
              <w:rPr>
                <w:sz w:val="18"/>
              </w:rPr>
              <w:t>wt</w:t>
            </w:r>
            <w:proofErr w:type="spellEnd"/>
            <w:r>
              <w:rPr>
                <w:sz w:val="18"/>
              </w:rPr>
              <w:t>% in ash (normal)</w:t>
            </w:r>
          </w:p>
        </w:tc>
      </w:tr>
      <w:tr w:rsidR="005E603F" w14:paraId="626600FD" w14:textId="77777777">
        <w:trPr>
          <w:jc w:val="center"/>
        </w:trPr>
        <w:tc>
          <w:tcPr>
            <w:tcW w:w="2736" w:type="dxa"/>
            <w:tcBorders>
              <w:top w:val="nil"/>
              <w:left w:val="nil"/>
              <w:bottom w:val="single" w:sz="8" w:space="0" w:color="000000"/>
              <w:right w:val="nil"/>
            </w:tcBorders>
            <w:tcMar>
              <w:top w:w="60" w:type="dxa"/>
              <w:left w:w="80" w:type="dxa"/>
              <w:bottom w:w="60" w:type="dxa"/>
              <w:right w:w="80" w:type="dxa"/>
            </w:tcMar>
          </w:tcPr>
          <w:p w14:paraId="579626B5" w14:textId="77777777" w:rsidR="005E603F" w:rsidRDefault="00000000">
            <w:r>
              <w:rPr>
                <w:sz w:val="18"/>
              </w:rPr>
              <w:t>Re-processing</w:t>
            </w:r>
          </w:p>
        </w:tc>
        <w:tc>
          <w:tcPr>
            <w:tcW w:w="3024" w:type="dxa"/>
            <w:tcBorders>
              <w:top w:val="nil"/>
              <w:left w:val="nil"/>
              <w:bottom w:val="single" w:sz="8" w:space="0" w:color="000000"/>
              <w:right w:val="nil"/>
            </w:tcBorders>
            <w:tcMar>
              <w:top w:w="60" w:type="dxa"/>
              <w:left w:w="80" w:type="dxa"/>
              <w:bottom w:w="60" w:type="dxa"/>
              <w:right w:w="80" w:type="dxa"/>
            </w:tcMar>
          </w:tcPr>
          <w:p w14:paraId="3657D575" w14:textId="77777777" w:rsidR="005E603F" w:rsidRDefault="00000000">
            <w:r>
              <w:rPr>
                <w:sz w:val="18"/>
              </w:rPr>
              <w:t>2% of the pieces</w:t>
            </w:r>
          </w:p>
        </w:tc>
        <w:tc>
          <w:tcPr>
            <w:tcW w:w="3600" w:type="dxa"/>
            <w:tcBorders>
              <w:top w:val="nil"/>
              <w:left w:val="nil"/>
              <w:bottom w:val="single" w:sz="8" w:space="0" w:color="000000"/>
              <w:right w:val="nil"/>
            </w:tcBorders>
            <w:tcMar>
              <w:top w:w="60" w:type="dxa"/>
              <w:left w:w="80" w:type="dxa"/>
              <w:bottom w:w="60" w:type="dxa"/>
              <w:right w:w="80" w:type="dxa"/>
            </w:tcMar>
          </w:tcPr>
          <w:p w14:paraId="62A4ABF7" w14:textId="77777777" w:rsidR="005E603F" w:rsidRDefault="00000000">
            <w:r>
              <w:rPr>
                <w:sz w:val="18"/>
              </w:rPr>
              <w:t>Pieces pass through the dezincification bath</w:t>
            </w:r>
          </w:p>
        </w:tc>
      </w:tr>
    </w:tbl>
    <w:p w14:paraId="7E40D714" w14:textId="77777777" w:rsidR="005E603F" w:rsidRDefault="005E603F">
      <w:pPr>
        <w:spacing w:after="120"/>
      </w:pPr>
    </w:p>
    <w:p w14:paraId="18880D0F" w14:textId="7EEDC762" w:rsidR="005E603F" w:rsidRDefault="00000000">
      <w:pPr>
        <w:spacing w:line="480" w:lineRule="auto"/>
        <w:ind w:firstLine="720"/>
        <w:jc w:val="both"/>
      </w:pPr>
      <w:r>
        <w:t xml:space="preserve">The original MATLAB models (Hernandez-Betancur, 2018) were re-implemented and verified against the 2019 results. In </w:t>
      </w:r>
      <w:r w:rsidR="0004609D" w:rsidRPr="0004609D">
        <w:t>2019</w:t>
      </w:r>
      <w:r>
        <w:t xml:space="preserve"> mode, the re-implementation reproduces the behavior of the original listings, including a few defects of those listings that change the numbers, so that published results can be recovered: for 100 simulated years it gave a 95% confidence interval of the mean process utility of 16,408 to 16,988 µm (16,406 to 16,987 µm in the 2019 study) and a probability of sustainability of 0.453 (0.4526), with fluxing and pickling again as the critical stages (Supporting Information SI-2). In corrected mode, which is used for every optimization run, the ammonium and volume balances of the flux bath conserve mass and the bath volume is limited to the tank capacity by withdrawing the excess as a side stream, as industrial flux baths are maintained instead of being dumped (Supporting Information SI-2). In a 20-year comparison with the same random numbers, corrected mode changed the mean process utility from 16,694 to 16,710 µm and the probability of sustainability from 0.452 to 0.456, and the critical stages did not change.</w:t>
      </w:r>
    </w:p>
    <w:p w14:paraId="3669B66A" w14:textId="77777777" w:rsidR="005E603F" w:rsidRDefault="00000000" w:rsidP="00A65127">
      <w:pPr>
        <w:pStyle w:val="Heading2"/>
        <w:numPr>
          <w:ilvl w:val="1"/>
          <w:numId w:val="1"/>
        </w:numPr>
        <w:spacing w:before="0"/>
        <w:ind w:left="0" w:firstLine="0"/>
      </w:pPr>
      <w:bookmarkStart w:id="7" w:name="_RefSec2_3"/>
      <w:r>
        <w:rPr>
          <w:color w:val="000000"/>
        </w:rPr>
        <w:t>Sustainability assessment</w:t>
      </w:r>
      <w:bookmarkEnd w:id="7"/>
    </w:p>
    <w:p w14:paraId="1087E2AB" w14:textId="7BF0A60A" w:rsidR="005E603F" w:rsidRDefault="00000000">
      <w:pPr>
        <w:spacing w:line="480" w:lineRule="auto"/>
        <w:ind w:firstLine="720"/>
        <w:jc w:val="both"/>
      </w:pPr>
      <w:r>
        <w:t xml:space="preserve">Following the 2019 study, the inventory of each simulated year is converted into the 17 GREENSCOPE indicators selected there (11 environmental, four efficiency, one energy, and one economic indicator) for each of the </w:t>
      </w:r>
      <w:proofErr w:type="gramStart"/>
      <w:r w:rsidR="004F7994">
        <w:t>seven unit</w:t>
      </w:r>
      <w:proofErr w:type="gramEnd"/>
      <w:r>
        <w:t xml:space="preserve"> processes (degreasing, rinsing 1, pickling, rinsing 2, fluxing, drying, and galvanizing), plus a quality indicator based on ISO 1461. Every indicator </w:t>
      </w:r>
      <w:r>
        <w:lastRenderedPageBreak/>
        <w:t xml:space="preserve">value </w:t>
      </w:r>
      <w:proofErr w:type="spellStart"/>
      <w:proofErr w:type="gramStart"/>
      <w:r>
        <w:rPr>
          <w:i/>
        </w:rPr>
        <w:t>x</w:t>
      </w:r>
      <w:r>
        <w:rPr>
          <w:vertAlign w:val="subscript"/>
        </w:rPr>
        <w:t>i,j</w:t>
      </w:r>
      <w:proofErr w:type="spellEnd"/>
      <w:proofErr w:type="gramEnd"/>
      <w:r>
        <w:t xml:space="preserve"> is </w:t>
      </w:r>
      <w:r w:rsidR="0004609D">
        <w:t>converted into a score between its worst and best reference values with Eq. (</w:t>
      </w:r>
      <w:r w:rsidR="0004609D">
        <w:fldChar w:fldCharType="begin"/>
      </w:r>
      <w:r w:rsidR="0004609D">
        <w:instrText xml:space="preserve"> REF _RefEq1 \h \* MERGEFORMAT </w:instrText>
      </w:r>
      <w:r w:rsidR="0004609D">
        <w:fldChar w:fldCharType="separate"/>
      </w:r>
      <w:r w:rsidR="00227590" w:rsidRPr="00227590">
        <w:rPr>
          <w:noProof/>
          <w:color w:val="000000"/>
        </w:rPr>
        <w:t>1</w:t>
      </w:r>
      <w:r w:rsidR="0004609D">
        <w:fldChar w:fldCharType="end"/>
      </w:r>
      <w:r w:rsidR="0004609D">
        <w:t>) (Ruiz-Mercado et al., 2012).</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36"/>
        <w:gridCol w:w="7488"/>
        <w:gridCol w:w="936"/>
      </w:tblGrid>
      <w:tr w:rsidR="004C3A34" w14:paraId="21C8C365" w14:textId="77777777">
        <w:tblPrEx>
          <w:tblCellMar>
            <w:top w:w="0" w:type="dxa"/>
            <w:bottom w:w="0" w:type="dxa"/>
          </w:tblCellMar>
        </w:tblPrEx>
        <w:trPr>
          <w:cantSplit/>
          <w:jc w:val="center"/>
        </w:trPr>
        <w:tc>
          <w:tcPr>
            <w:tcW w:w="936" w:type="dxa"/>
            <w:vAlign w:val="center"/>
          </w:tcPr>
          <w:p w14:paraId="78B36010" w14:textId="77777777" w:rsidR="004C3A34" w:rsidRDefault="004C3A34">
            <w:pPr>
              <w:spacing w:before="240" w:after="240"/>
            </w:pPr>
          </w:p>
        </w:tc>
        <w:tc>
          <w:tcPr>
            <w:tcW w:w="7488" w:type="dxa"/>
            <w:vAlign w:val="center"/>
          </w:tcPr>
          <w:p w14:paraId="14793083" w14:textId="77777777" w:rsidR="004C3A34" w:rsidRDefault="004C3A34">
            <w:pPr>
              <w:spacing w:before="240" w:after="2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worst</m:t>
                        </m:r>
                        <m:r>
                          <w:rPr>
                            <w:rFonts w:ascii="Cambria Math" w:hAnsi="Cambria Math"/>
                          </w:rPr>
                          <m:t>,i,j</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best</m:t>
                        </m:r>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worst</m:t>
                        </m:r>
                        <m:r>
                          <w:rPr>
                            <w:rFonts w:ascii="Cambria Math" w:hAnsi="Cambria Math"/>
                          </w:rPr>
                          <m:t>,i,j</m:t>
                        </m:r>
                      </m:sub>
                    </m:sSub>
                  </m:den>
                </m:f>
              </m:oMath>
            </m:oMathPara>
          </w:p>
        </w:tc>
        <w:tc>
          <w:tcPr>
            <w:tcW w:w="936" w:type="dxa"/>
            <w:vAlign w:val="center"/>
          </w:tcPr>
          <w:p w14:paraId="0846DE3F" w14:textId="0ACBFFDF" w:rsidR="004C3A34" w:rsidRDefault="004C3A34">
            <w:pPr>
              <w:spacing w:before="240" w:after="240"/>
              <w:jc w:val="right"/>
            </w:pPr>
            <w:r>
              <w:t>(</w:t>
            </w:r>
            <w:fldSimple w:instr=" SEQ Equation \* ARABIC ">
              <w:bookmarkStart w:id="8" w:name="_RefEq1"/>
              <w:r w:rsidR="00227590">
                <w:rPr>
                  <w:noProof/>
                </w:rPr>
                <w:t>1</w:t>
              </w:r>
              <w:bookmarkEnd w:id="8"/>
            </w:fldSimple>
            <w:r>
              <w:t>)</w:t>
            </w:r>
          </w:p>
        </w:tc>
      </w:tr>
    </w:tbl>
    <w:p w14:paraId="4C3BA5F2" w14:textId="644EF66A" w:rsidR="008A1F33" w:rsidRDefault="0004609D" w:rsidP="00432DDE">
      <w:pPr>
        <w:spacing w:line="480" w:lineRule="auto"/>
        <w:ind w:firstLine="720"/>
        <w:jc w:val="both"/>
      </w:pPr>
      <w:r>
        <w:t xml:space="preserve">The quality score </w:t>
      </w:r>
      <w:r w:rsidRPr="00227590">
        <w:rPr>
          <w:i/>
        </w:rPr>
        <w:t>Q</w:t>
      </w:r>
      <w:r>
        <w:t>, given by Eq. (</w:t>
      </w:r>
      <w:r>
        <w:fldChar w:fldCharType="begin"/>
      </w:r>
      <w:r>
        <w:instrText xml:space="preserve"> REF _RefEq2 \h \* MERGEFORMAT </w:instrText>
      </w:r>
      <w:r>
        <w:fldChar w:fldCharType="separate"/>
      </w:r>
      <w:r w:rsidR="00227590" w:rsidRPr="00227590">
        <w:rPr>
          <w:noProof/>
          <w:color w:val="000000"/>
        </w:rPr>
        <w:t>2</w:t>
      </w:r>
      <w:r>
        <w:fldChar w:fldCharType="end"/>
      </w:r>
      <w:r>
        <w:t>), compares</w:t>
      </w:r>
      <w:r w:rsidR="00000000">
        <w:t xml:space="preserve"> the thickness </w:t>
      </w:r>
      <w:proofErr w:type="spellStart"/>
      <w:r w:rsidR="00000000">
        <w:rPr>
          <w:i/>
        </w:rPr>
        <w:t>δ</w:t>
      </w:r>
      <w:r w:rsidR="00000000">
        <w:rPr>
          <w:vertAlign w:val="subscript"/>
        </w:rPr>
        <w:t>s</w:t>
      </w:r>
      <w:proofErr w:type="spellEnd"/>
      <w:r w:rsidR="00000000">
        <w:t xml:space="preserve"> of each piece </w:t>
      </w:r>
      <w:r w:rsidR="00000000">
        <w:rPr>
          <w:i/>
        </w:rPr>
        <w:t>s</w:t>
      </w:r>
      <w:r w:rsidR="00000000">
        <w:t xml:space="preserve"> with the thickness </w:t>
      </w:r>
      <w:proofErr w:type="spellStart"/>
      <w:r w:rsidR="00000000">
        <w:rPr>
          <w:i/>
        </w:rPr>
        <w:t>δ</w:t>
      </w:r>
      <w:proofErr w:type="gramStart"/>
      <w:r w:rsidR="00000000">
        <w:rPr>
          <w:vertAlign w:val="subscript"/>
        </w:rPr>
        <w:t>ISO,s</w:t>
      </w:r>
      <w:proofErr w:type="spellEnd"/>
      <w:proofErr w:type="gramEnd"/>
      <w:r w:rsidR="00000000">
        <w:t xml:space="preserve"> required for its gauge, </w:t>
      </w:r>
      <w:r>
        <w:t xml:space="preserve">weighted by the piece mass </w:t>
      </w:r>
      <w:proofErr w:type="spellStart"/>
      <w:r w:rsidRPr="00227590">
        <w:rPr>
          <w:i/>
        </w:rPr>
        <w:t>m</w:t>
      </w:r>
      <w:r w:rsidRPr="00227590">
        <w:rPr>
          <w:vertAlign w:val="subscript"/>
        </w:rPr>
        <w:t>s</w:t>
      </w:r>
      <w:r>
        <w:t>.</w:t>
      </w:r>
      <w:proofErr w:type="spellEnd"/>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36"/>
        <w:gridCol w:w="7488"/>
        <w:gridCol w:w="936"/>
      </w:tblGrid>
      <w:tr w:rsidR="008A1F33" w14:paraId="4DAFFA01" w14:textId="77777777">
        <w:tblPrEx>
          <w:tblCellMar>
            <w:top w:w="0" w:type="dxa"/>
            <w:bottom w:w="0" w:type="dxa"/>
          </w:tblCellMar>
        </w:tblPrEx>
        <w:trPr>
          <w:cantSplit/>
          <w:jc w:val="center"/>
        </w:trPr>
        <w:tc>
          <w:tcPr>
            <w:tcW w:w="936" w:type="dxa"/>
            <w:vAlign w:val="center"/>
          </w:tcPr>
          <w:p w14:paraId="1C8D0773" w14:textId="77777777" w:rsidR="008A1F33" w:rsidRDefault="008A1F33">
            <w:pPr>
              <w:spacing w:before="240" w:after="240"/>
            </w:pPr>
          </w:p>
        </w:tc>
        <w:tc>
          <w:tcPr>
            <w:tcW w:w="7488" w:type="dxa"/>
            <w:vAlign w:val="center"/>
          </w:tcPr>
          <w:p w14:paraId="69639A65" w14:textId="77777777" w:rsidR="008A1F33" w:rsidRDefault="008A1F33">
            <w:pPr>
              <w:spacing w:before="240" w:after="240"/>
              <w:jc w:val="center"/>
            </w:pPr>
            <m:oMathPara>
              <m:oMath>
                <m:r>
                  <w:rPr>
                    <w:rFonts w:ascii="Cambria Math" w:hAnsi="Cambria Math"/>
                  </w:rPr>
                  <m:t>Q=100</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sub>
                      <m:sup/>
                      <m:e>
                        <m:sSub>
                          <m:sSubPr>
                            <m:ctrlPr>
                              <w:rPr>
                                <w:rFonts w:ascii="Cambria Math" w:hAnsi="Cambria Math"/>
                              </w:rPr>
                            </m:ctrlPr>
                          </m:sSubPr>
                          <m:e>
                            <m:r>
                              <w:rPr>
                                <w:rFonts w:ascii="Cambria Math" w:hAnsi="Cambria Math"/>
                              </w:rPr>
                              <m:t>m</m:t>
                            </m:r>
                          </m:e>
                          <m:sub>
                            <m:r>
                              <w:rPr>
                                <w:rFonts w:ascii="Cambria Math" w:hAnsi="Cambria Math"/>
                              </w:rPr>
                              <m:t>s</m:t>
                            </m:r>
                          </m:sub>
                        </m:sSub>
                        <m:func>
                          <m:funcPr>
                            <m:ctrlPr>
                              <w:rPr>
                                <w:rFonts w:ascii="Cambria Math" w:hAnsi="Cambria Math"/>
                              </w:rPr>
                            </m:ctrlPr>
                          </m:funcPr>
                          <m:fName>
                            <m:r>
                              <m:rPr>
                                <m:sty m:val="p"/>
                              </m:rPr>
                              <w:rPr>
                                <w:rFonts w:ascii="Cambria Math" w:hAnsi="Cambria Math"/>
                              </w:rPr>
                              <m:t>min</m:t>
                            </m:r>
                          </m:fName>
                          <m:e>
                            <m:d>
                              <m:dPr>
                                <m:sepChr m:val=","/>
                                <m:ctrlPr>
                                  <w:rPr>
                                    <w:rFonts w:ascii="Cambria Math" w:hAnsi="Cambria Math"/>
                                  </w:rPr>
                                </m:ctrlPr>
                              </m:dPr>
                              <m:e>
                                <m:r>
                                  <w:rPr>
                                    <w:rFonts w:ascii="Cambria Math" w:hAnsi="Cambria Math"/>
                                  </w:rPr>
                                  <m:t>1</m:t>
                                </m:r>
                              </m:e>
                              <m:e>
                                <m:f>
                                  <m:fPr>
                                    <m:type m:val="lin"/>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s</m:t>
                                        </m:r>
                                      </m:sub>
                                    </m:sSub>
                                  </m:num>
                                  <m:den>
                                    <m:sSub>
                                      <m:sSubPr>
                                        <m:ctrlPr>
                                          <w:rPr>
                                            <w:rFonts w:ascii="Cambria Math" w:hAnsi="Cambria Math"/>
                                          </w:rPr>
                                        </m:ctrlPr>
                                      </m:sSubPr>
                                      <m:e>
                                        <m:r>
                                          <w:rPr>
                                            <w:rFonts w:ascii="Cambria Math" w:hAnsi="Cambria Math"/>
                                          </w:rPr>
                                          <m:t>δ</m:t>
                                        </m:r>
                                      </m:e>
                                      <m:sub>
                                        <m:r>
                                          <m:rPr>
                                            <m:sty m:val="p"/>
                                          </m:rPr>
                                          <w:rPr>
                                            <w:rFonts w:ascii="Cambria Math" w:hAnsi="Cambria Math"/>
                                          </w:rPr>
                                          <m:t>ISO</m:t>
                                        </m:r>
                                        <m:r>
                                          <w:rPr>
                                            <w:rFonts w:ascii="Cambria Math" w:hAnsi="Cambria Math"/>
                                          </w:rPr>
                                          <m:t>,s</m:t>
                                        </m:r>
                                      </m:sub>
                                    </m:sSub>
                                  </m:den>
                                </m:f>
                              </m:e>
                            </m:d>
                          </m:e>
                        </m:func>
                      </m:e>
                    </m:nary>
                  </m:num>
                  <m:den>
                    <m:nary>
                      <m:naryPr>
                        <m:chr m:val="∑"/>
                        <m:limLoc m:val="undOvr"/>
                        <m:supHide m:val="1"/>
                        <m:ctrlPr>
                          <w:rPr>
                            <w:rFonts w:ascii="Cambria Math" w:hAnsi="Cambria Math"/>
                          </w:rPr>
                        </m:ctrlPr>
                      </m:naryPr>
                      <m:sub>
                        <m:r>
                          <w:rPr>
                            <w:rFonts w:ascii="Cambria Math" w:hAnsi="Cambria Math"/>
                          </w:rPr>
                          <m:t>s</m:t>
                        </m:r>
                      </m:sub>
                      <m:sup/>
                      <m:e>
                        <m:sSub>
                          <m:sSubPr>
                            <m:ctrlPr>
                              <w:rPr>
                                <w:rFonts w:ascii="Cambria Math" w:hAnsi="Cambria Math"/>
                              </w:rPr>
                            </m:ctrlPr>
                          </m:sSubPr>
                          <m:e>
                            <m:r>
                              <w:rPr>
                                <w:rFonts w:ascii="Cambria Math" w:hAnsi="Cambria Math"/>
                              </w:rPr>
                              <m:t>m</m:t>
                            </m:r>
                          </m:e>
                          <m:sub>
                            <m:r>
                              <w:rPr>
                                <w:rFonts w:ascii="Cambria Math" w:hAnsi="Cambria Math"/>
                              </w:rPr>
                              <m:t>s</m:t>
                            </m:r>
                          </m:sub>
                        </m:sSub>
                      </m:e>
                    </m:nary>
                  </m:den>
                </m:f>
              </m:oMath>
            </m:oMathPara>
          </w:p>
        </w:tc>
        <w:tc>
          <w:tcPr>
            <w:tcW w:w="936" w:type="dxa"/>
            <w:vAlign w:val="center"/>
          </w:tcPr>
          <w:p w14:paraId="2D2709CE" w14:textId="3958D048" w:rsidR="008A1F33" w:rsidRDefault="008A1F33">
            <w:pPr>
              <w:spacing w:before="240" w:after="240"/>
              <w:jc w:val="right"/>
            </w:pPr>
            <w:r>
              <w:t>(</w:t>
            </w:r>
            <w:fldSimple w:instr=" SEQ Equation \* ARABIC ">
              <w:bookmarkStart w:id="9" w:name="_RefEq2"/>
              <w:r w:rsidR="00227590">
                <w:rPr>
                  <w:noProof/>
                </w:rPr>
                <w:t>2</w:t>
              </w:r>
              <w:bookmarkEnd w:id="9"/>
            </w:fldSimple>
            <w:r>
              <w:t>)</w:t>
            </w:r>
          </w:p>
        </w:tc>
      </w:tr>
    </w:tbl>
    <w:p w14:paraId="7774C250" w14:textId="2DF83374" w:rsidR="005E603F" w:rsidRDefault="00000000" w:rsidP="00432DDE">
      <w:pPr>
        <w:spacing w:line="480" w:lineRule="auto"/>
        <w:ind w:firstLine="720"/>
        <w:jc w:val="both"/>
      </w:pPr>
      <w:r>
        <w:t xml:space="preserve">The relative weights </w:t>
      </w:r>
      <w:proofErr w:type="spellStart"/>
      <w:r>
        <w:rPr>
          <w:i/>
        </w:rPr>
        <w:t>λ</w:t>
      </w:r>
      <w:r>
        <w:rPr>
          <w:vertAlign w:val="subscript"/>
        </w:rPr>
        <w:t>i</w:t>
      </w:r>
      <w:proofErr w:type="spellEnd"/>
      <w:r>
        <w:t xml:space="preserve"> of the 17 indicators and of the quality category </w:t>
      </w:r>
      <w:proofErr w:type="spellStart"/>
      <w:r>
        <w:rPr>
          <w:i/>
        </w:rPr>
        <w:t>λ</w:t>
      </w:r>
      <w:r>
        <w:rPr>
          <w:vertAlign w:val="subscript"/>
        </w:rPr>
        <w:t>Q</w:t>
      </w:r>
      <w:proofErr w:type="spellEnd"/>
      <w:r>
        <w:t xml:space="preserve"> are those obtained in the 2019 study with the FAHP applied to ten experts: 0.1433 (environment), 0.1770 (efficiency), 0.1163 (energy), 0.2500 (economy), and 0.3134 (quality) for the categories, with the weights of the individual environmental and efficiency indicators given in the 2019 study. </w:t>
      </w:r>
      <w:r w:rsidR="0004609D">
        <w:t>The additive utility of the process for a simulated year is given by Eq. (</w:t>
      </w:r>
      <w:r w:rsidR="0004609D">
        <w:fldChar w:fldCharType="begin"/>
      </w:r>
      <w:r w:rsidR="0004609D">
        <w:instrText xml:space="preserve"> REF _RefEq3 \h \* MERGEFORMAT </w:instrText>
      </w:r>
      <w:r w:rsidR="0004609D">
        <w:fldChar w:fldCharType="separate"/>
      </w:r>
      <w:r w:rsidR="00227590" w:rsidRPr="00227590">
        <w:rPr>
          <w:noProof/>
          <w:color w:val="000000"/>
        </w:rPr>
        <w:t>3</w:t>
      </w:r>
      <w:r w:rsidR="0004609D">
        <w:fldChar w:fldCharType="end"/>
      </w:r>
      <w:r w:rsidR="0004609D">
        <w:t>) (Smith &amp; Ruiz-Mercado, 2014).</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36"/>
        <w:gridCol w:w="7488"/>
        <w:gridCol w:w="936"/>
      </w:tblGrid>
      <w:tr w:rsidR="004C3A34" w14:paraId="68BD7E3C" w14:textId="77777777">
        <w:tblPrEx>
          <w:tblCellMar>
            <w:top w:w="0" w:type="dxa"/>
            <w:bottom w:w="0" w:type="dxa"/>
          </w:tblCellMar>
        </w:tblPrEx>
        <w:trPr>
          <w:cantSplit/>
          <w:jc w:val="center"/>
        </w:trPr>
        <w:tc>
          <w:tcPr>
            <w:tcW w:w="936" w:type="dxa"/>
            <w:vAlign w:val="center"/>
          </w:tcPr>
          <w:p w14:paraId="4D198EF8" w14:textId="77777777" w:rsidR="004C3A34" w:rsidRDefault="004C3A34">
            <w:pPr>
              <w:spacing w:before="240" w:after="240"/>
            </w:pPr>
          </w:p>
        </w:tc>
        <w:tc>
          <w:tcPr>
            <w:tcW w:w="7488" w:type="dxa"/>
            <w:vAlign w:val="center"/>
          </w:tcPr>
          <w:p w14:paraId="688EA518" w14:textId="77777777" w:rsidR="004C3A34" w:rsidRDefault="004C3A34">
            <w:pPr>
              <w:spacing w:before="240" w:after="240"/>
              <w:jc w:val="center"/>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P</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m:rPr>
                        <m:sty m:val="p"/>
                      </m:rPr>
                      <w:rPr>
                        <w:rFonts w:ascii="Cambria Math" w:hAnsi="Cambria Math"/>
                      </w:rPr>
                      <m:t>std</m:t>
                    </m:r>
                  </m:sub>
                </m:sSub>
                <m:d>
                  <m:dPr>
                    <m:begChr m:val="["/>
                    <m:endChr m:val="]"/>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m</m:t>
                        </m:r>
                        <m:sSub>
                          <m:sSubPr>
                            <m:ctrlPr>
                              <w:rPr>
                                <w:rFonts w:ascii="Cambria Math" w:hAnsi="Cambria Math"/>
                              </w:rPr>
                            </m:ctrlPr>
                          </m:sSubPr>
                          <m:e>
                            <m:r>
                              <w:rPr>
                                <w:rFonts w:ascii="Cambria Math" w:hAnsi="Cambria Math"/>
                              </w:rPr>
                              <m:t>λ</m:t>
                            </m:r>
                          </m:e>
                          <m:sub>
                            <m:r>
                              <m:rPr>
                                <m:sty m:val="p"/>
                              </m:rPr>
                              <w:rPr>
                                <w:rFonts w:ascii="Cambria Math" w:hAnsi="Cambria Math"/>
                              </w:rPr>
                              <m:t>Q</m:t>
                            </m:r>
                          </m:sub>
                        </m:sSub>
                      </m:den>
                    </m:f>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i=1</m:t>
                            </m:r>
                          </m:sub>
                          <m:sup>
                            <m:r>
                              <w:rPr>
                                <w:rFonts w:ascii="Cambria Math" w:hAnsi="Cambria Math"/>
                              </w:rPr>
                              <m:t>17</m:t>
                            </m:r>
                          </m:sup>
                          <m:e>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i,j</m:t>
                                </m:r>
                              </m:sub>
                            </m:sSub>
                          </m:e>
                        </m:nary>
                      </m:e>
                    </m:nary>
                  </m:e>
                </m:d>
              </m:oMath>
            </m:oMathPara>
          </w:p>
        </w:tc>
        <w:tc>
          <w:tcPr>
            <w:tcW w:w="936" w:type="dxa"/>
            <w:vAlign w:val="center"/>
          </w:tcPr>
          <w:p w14:paraId="4360843A" w14:textId="00C42C2A" w:rsidR="004C3A34" w:rsidRDefault="004C3A34">
            <w:pPr>
              <w:spacing w:before="240" w:after="240"/>
              <w:jc w:val="right"/>
            </w:pPr>
            <w:r>
              <w:t>(</w:t>
            </w:r>
            <w:fldSimple w:instr=" SEQ Equation \* ARABIC ">
              <w:bookmarkStart w:id="10" w:name="_RefEq3"/>
              <w:r w:rsidR="00227590">
                <w:rPr>
                  <w:noProof/>
                </w:rPr>
                <w:t>3</w:t>
              </w:r>
              <w:bookmarkEnd w:id="10"/>
            </w:fldSimple>
            <w:r>
              <w:t>)</w:t>
            </w:r>
          </w:p>
        </w:tc>
      </w:tr>
    </w:tbl>
    <w:p w14:paraId="64BBFC28" w14:textId="14DDBEC3" w:rsidR="005E603F" w:rsidRDefault="0004609D" w:rsidP="00432DDE">
      <w:pPr>
        <w:spacing w:line="480" w:lineRule="auto"/>
        <w:ind w:firstLine="720"/>
        <w:jc w:val="both"/>
      </w:pPr>
      <w:r>
        <w:t>In Eq. (</w:t>
      </w:r>
      <w:r>
        <w:fldChar w:fldCharType="begin"/>
      </w:r>
      <w:r>
        <w:instrText xml:space="preserve"> REF _RefEq3 \h \* MERGEFORMAT </w:instrText>
      </w:r>
      <w:r>
        <w:fldChar w:fldCharType="separate"/>
      </w:r>
      <w:r w:rsidR="00227590" w:rsidRPr="00227590">
        <w:rPr>
          <w:noProof/>
          <w:color w:val="000000"/>
        </w:rPr>
        <w:t>3</w:t>
      </w:r>
      <w:r>
        <w:fldChar w:fldCharType="end"/>
      </w:r>
      <w:r>
        <w:t xml:space="preserve">), </w:t>
      </w:r>
      <w:r w:rsidRPr="00227590">
        <w:rPr>
          <w:i/>
        </w:rPr>
        <w:t>m</w:t>
      </w:r>
      <w:r>
        <w:t xml:space="preserve"> = 7 is the number</w:t>
      </w:r>
      <w:r w:rsidR="00000000">
        <w:t xml:space="preserve"> of unit processes and </w:t>
      </w:r>
      <w:proofErr w:type="spellStart"/>
      <w:r w:rsidR="00000000">
        <w:rPr>
          <w:i/>
        </w:rPr>
        <w:t>x̄</w:t>
      </w:r>
      <w:r w:rsidR="00000000">
        <w:rPr>
          <w:vertAlign w:val="subscript"/>
        </w:rPr>
        <w:t>std</w:t>
      </w:r>
      <w:proofErr w:type="spellEnd"/>
      <w:r w:rsidR="00000000">
        <w:t xml:space="preserve"> is the mean thickness required by the standard over the pieces of the year, which gives </w:t>
      </w:r>
      <w:r w:rsidR="00000000">
        <w:rPr>
          <w:i/>
        </w:rPr>
        <w:t>U</w:t>
      </w:r>
      <w:r w:rsidR="00000000">
        <w:rPr>
          <w:vertAlign w:val="subscript"/>
        </w:rPr>
        <w:t>P</w:t>
      </w:r>
      <w:r w:rsidR="00000000">
        <w:t xml:space="preserve"> the scale of a thickness (µm), as in the 2019 study. If all scores equal 100, the utility reaches its maximum </w:t>
      </w:r>
      <w:proofErr w:type="spellStart"/>
      <w:r w:rsidR="00000000">
        <w:rPr>
          <w:i/>
        </w:rPr>
        <w:t>U</w:t>
      </w:r>
      <w:r w:rsidR="00000000">
        <w:rPr>
          <w:vertAlign w:val="subscript"/>
        </w:rPr>
        <w:t>max</w:t>
      </w:r>
      <w:proofErr w:type="spellEnd"/>
      <w:r w:rsidR="00000000">
        <w:t xml:space="preserve"> = 100 </w:t>
      </w:r>
      <w:proofErr w:type="spellStart"/>
      <w:r w:rsidR="00000000">
        <w:rPr>
          <w:i/>
        </w:rPr>
        <w:t>x̄</w:t>
      </w:r>
      <w:r w:rsidR="00000000">
        <w:rPr>
          <w:vertAlign w:val="subscript"/>
        </w:rPr>
        <w:t>std</w:t>
      </w:r>
      <w:proofErr w:type="spellEnd"/>
      <w:r w:rsidR="00000000">
        <w:t xml:space="preserve"> / </w:t>
      </w:r>
      <w:proofErr w:type="spellStart"/>
      <w:r w:rsidR="00000000">
        <w:rPr>
          <w:i/>
        </w:rPr>
        <w:t>λ</w:t>
      </w:r>
      <w:r w:rsidR="00000000">
        <w:rPr>
          <w:vertAlign w:val="subscript"/>
        </w:rPr>
        <w:t>Q</w:t>
      </w:r>
      <w:proofErr w:type="spellEnd"/>
      <w:r w:rsidR="00000000">
        <w:t xml:space="preserve">. The process is considered sustainable in a simulated year if </w:t>
      </w:r>
      <w:r w:rsidR="00000000">
        <w:rPr>
          <w:i/>
        </w:rPr>
        <w:t>U</w:t>
      </w:r>
      <w:r w:rsidR="00000000">
        <w:rPr>
          <w:vertAlign w:val="subscript"/>
        </w:rPr>
        <w:t>P</w:t>
      </w:r>
      <w:r w:rsidR="00000000">
        <w:t xml:space="preserve"> ≥ </w:t>
      </w:r>
      <w:r w:rsidR="00000000" w:rsidRPr="00227590">
        <w:rPr>
          <w:i/>
        </w:rPr>
        <w:t>L</w:t>
      </w:r>
      <w:r w:rsidR="00000000" w:rsidRPr="00227590">
        <w:rPr>
          <w:vertAlign w:val="subscript"/>
        </w:rPr>
        <w:t>MP</w:t>
      </w:r>
      <w:r w:rsidR="00000000">
        <w:t xml:space="preserve"> = 0.8 </w:t>
      </w:r>
      <w:proofErr w:type="spellStart"/>
      <w:r w:rsidR="00000000">
        <w:rPr>
          <w:i/>
        </w:rPr>
        <w:t>U</w:t>
      </w:r>
      <w:r w:rsidR="00000000">
        <w:rPr>
          <w:vertAlign w:val="subscript"/>
        </w:rPr>
        <w:t>max</w:t>
      </w:r>
      <w:proofErr w:type="spellEnd"/>
      <w:r w:rsidR="00000000">
        <w:t xml:space="preserve">, and the probability of being sustainable, </w:t>
      </w:r>
      <w:proofErr w:type="spellStart"/>
      <w:r w:rsidR="00000000">
        <w:rPr>
          <w:i/>
        </w:rPr>
        <w:t>P</w:t>
      </w:r>
      <w:r w:rsidR="00000000">
        <w:rPr>
          <w:vertAlign w:val="subscript"/>
        </w:rPr>
        <w:t>sustainable</w:t>
      </w:r>
      <w:proofErr w:type="spellEnd"/>
      <w:r w:rsidR="00000000">
        <w:t xml:space="preserve">, is estimated as the fraction of simulated years that satisfy this condition. The 2019 study approximated this probability with a normal distribution of </w:t>
      </w:r>
      <w:r w:rsidR="00000000">
        <w:rPr>
          <w:i/>
        </w:rPr>
        <w:t>U</w:t>
      </w:r>
      <w:r w:rsidR="00000000">
        <w:rPr>
          <w:vertAlign w:val="subscript"/>
        </w:rPr>
        <w:t>P</w:t>
      </w:r>
      <w:r w:rsidR="00000000">
        <w:t xml:space="preserve">; the empirical fraction avoids that assumption. In the formulation of the 2019 study the score of the manufacturing cost indicator is the same for every unit process (64.39%), because its best and </w:t>
      </w:r>
      <w:r w:rsidR="00000000">
        <w:lastRenderedPageBreak/>
        <w:t xml:space="preserve">worst reference values are fixed multiples of the cost itself; prices therefore change the cost in USD but not </w:t>
      </w:r>
      <w:r w:rsidR="00000000">
        <w:rPr>
          <w:i/>
        </w:rPr>
        <w:t>U</w:t>
      </w:r>
      <w:r w:rsidR="00000000">
        <w:rPr>
          <w:vertAlign w:val="subscript"/>
        </w:rPr>
        <w:t>P</w:t>
      </w:r>
      <w:r w:rsidR="00000000">
        <w:t>.</w:t>
      </w:r>
    </w:p>
    <w:p w14:paraId="1AC5680B" w14:textId="77777777" w:rsidR="005E603F" w:rsidRDefault="00000000" w:rsidP="00A65127">
      <w:pPr>
        <w:pStyle w:val="Heading2"/>
        <w:numPr>
          <w:ilvl w:val="1"/>
          <w:numId w:val="1"/>
        </w:numPr>
        <w:spacing w:before="0"/>
        <w:ind w:left="0" w:firstLine="0"/>
      </w:pPr>
      <w:bookmarkStart w:id="11" w:name="_RefSec2_4"/>
      <w:r>
        <w:rPr>
          <w:color w:val="000000"/>
        </w:rPr>
        <w:t>Optimization problem</w:t>
      </w:r>
      <w:bookmarkEnd w:id="11"/>
    </w:p>
    <w:p w14:paraId="22353BD9" w14:textId="1E6D5C2F" w:rsidR="005E603F" w:rsidRDefault="00000000">
      <w:pPr>
        <w:spacing w:line="480" w:lineRule="auto"/>
        <w:ind w:firstLine="720"/>
        <w:jc w:val="both"/>
      </w:pPr>
      <w:r>
        <w:t>Seven operating variables are controlled (</w:t>
      </w:r>
      <w:r w:rsidR="00637DD6">
        <w:fldChar w:fldCharType="begin"/>
      </w:r>
      <w:r w:rsidR="00637DD6">
        <w:instrText xml:space="preserve"> REF _RefTable2 \h \* MERGEFORMAT </w:instrText>
      </w:r>
      <w:r w:rsidR="00637DD6">
        <w:fldChar w:fldCharType="separate"/>
      </w:r>
      <w:r w:rsidR="00227590" w:rsidRPr="00227590">
        <w:rPr>
          <w:color w:val="000000"/>
        </w:rPr>
        <w:t xml:space="preserve">Table </w:t>
      </w:r>
      <w:r w:rsidR="00227590" w:rsidRPr="00227590">
        <w:rPr>
          <w:noProof/>
          <w:color w:val="000000"/>
        </w:rPr>
        <w:t>2</w:t>
      </w:r>
      <w:r w:rsidR="00637DD6">
        <w:fldChar w:fldCharType="end"/>
      </w:r>
      <w:r>
        <w:t>). The temperature of the degreasing bath (</w:t>
      </w:r>
      <w:r>
        <w:rPr>
          <w:i/>
        </w:rPr>
        <w:t>x</w:t>
      </w:r>
      <w:r>
        <w:rPr>
          <w:vertAlign w:val="subscript"/>
        </w:rPr>
        <w:t>1</w:t>
      </w:r>
      <w:r>
        <w:t>), the temperature, pH, and total salt concentration of the flux (</w:t>
      </w:r>
      <w:r>
        <w:rPr>
          <w:i/>
        </w:rPr>
        <w:t>x</w:t>
      </w:r>
      <w:r>
        <w:rPr>
          <w:vertAlign w:val="subscript"/>
        </w:rPr>
        <w:t>4</w:t>
      </w:r>
      <w:r>
        <w:t xml:space="preserve">, </w:t>
      </w:r>
      <w:r>
        <w:rPr>
          <w:i/>
        </w:rPr>
        <w:t>x</w:t>
      </w:r>
      <w:r>
        <w:rPr>
          <w:vertAlign w:val="subscript"/>
        </w:rPr>
        <w:t>5</w:t>
      </w:r>
      <w:r>
        <w:t xml:space="preserve">, </w:t>
      </w:r>
      <w:r>
        <w:rPr>
          <w:i/>
        </w:rPr>
        <w:t>x</w:t>
      </w:r>
      <w:r>
        <w:rPr>
          <w:vertAlign w:val="subscript"/>
        </w:rPr>
        <w:t>6</w:t>
      </w:r>
      <w:r>
        <w:t>; ZnCl</w:t>
      </w:r>
      <w:r>
        <w:rPr>
          <w:vertAlign w:val="subscript"/>
        </w:rPr>
        <w:t>2</w:t>
      </w:r>
      <w:r>
        <w:t>/NH</w:t>
      </w:r>
      <w:r>
        <w:rPr>
          <w:vertAlign w:val="subscript"/>
        </w:rPr>
        <w:t>4</w:t>
      </w:r>
      <w:r>
        <w:t>Cl fixed at 60/40), and the HCl concentration of the normal pickling bath (</w:t>
      </w:r>
      <w:r>
        <w:rPr>
          <w:i/>
        </w:rPr>
        <w:t>x</w:t>
      </w:r>
      <w:r>
        <w:rPr>
          <w:vertAlign w:val="subscript"/>
        </w:rPr>
        <w:t>2</w:t>
      </w:r>
      <w:r>
        <w:t>) define the state of the fresh bath at the start of the year and at every renewal, after which the state follows the balances; the dipping time in the normal pickling bath (</w:t>
      </w:r>
      <w:r>
        <w:rPr>
          <w:i/>
        </w:rPr>
        <w:t>x</w:t>
      </w:r>
      <w:r>
        <w:rPr>
          <w:vertAlign w:val="subscript"/>
        </w:rPr>
        <w:t>3</w:t>
      </w:r>
      <w:r>
        <w:t>) and the set-point temperature of the zinc bath (</w:t>
      </w:r>
      <w:r>
        <w:rPr>
          <w:i/>
        </w:rPr>
        <w:t>x</w:t>
      </w:r>
      <w:r>
        <w:rPr>
          <w:vertAlign w:val="subscript"/>
        </w:rPr>
        <w:t>7</w:t>
      </w:r>
      <w:r>
        <w:t xml:space="preserve">) apply to every piece. The bounds contain the values used in the 2019 study (for example 16 to 18 </w:t>
      </w:r>
      <w:proofErr w:type="spellStart"/>
      <w:r>
        <w:t>wt</w:t>
      </w:r>
      <w:proofErr w:type="spellEnd"/>
      <w:r>
        <w:t>% HCl and 10 to 20 min of dipping). The baseline design holds each variable at the nominal value of the 2019 distributions, without their random variation, so that the comparison isolates the effect of choosing the set-points.</w:t>
      </w:r>
    </w:p>
    <w:p w14:paraId="6F45C31B" w14:textId="0AC09060" w:rsidR="005E603F" w:rsidRDefault="00000000">
      <w:pPr>
        <w:pStyle w:val="Caption"/>
      </w:pPr>
      <w:bookmarkStart w:id="12" w:name="_RefTable2"/>
      <w:r w:rsidRPr="003A047F">
        <w:rPr>
          <w:b/>
        </w:rPr>
        <w:t xml:space="preserve">Table </w:t>
      </w:r>
      <w:r w:rsidR="003A047F" w:rsidRPr="003A047F">
        <w:rPr>
          <w:b/>
        </w:rPr>
        <w:fldChar w:fldCharType="begin"/>
      </w:r>
      <w:r w:rsidR="003A047F" w:rsidRPr="003A047F">
        <w:rPr>
          <w:b/>
        </w:rPr>
        <w:instrText xml:space="preserve"> SEQ Table \* ARABIC </w:instrText>
      </w:r>
      <w:r w:rsidR="003A047F" w:rsidRPr="003A047F">
        <w:rPr>
          <w:b/>
        </w:rPr>
        <w:fldChar w:fldCharType="separate"/>
      </w:r>
      <w:r w:rsidR="00227590">
        <w:rPr>
          <w:b/>
          <w:noProof/>
        </w:rPr>
        <w:t>2</w:t>
      </w:r>
      <w:bookmarkEnd w:id="12"/>
      <w:r w:rsidR="003A047F" w:rsidRPr="003A047F">
        <w:rPr>
          <w:b/>
        </w:rPr>
        <w:fldChar w:fldCharType="end"/>
      </w:r>
      <w:r w:rsidRPr="003A047F">
        <w:rPr>
          <w:b/>
        </w:rPr>
        <w:t>.</w:t>
      </w:r>
      <w:r>
        <w:t xml:space="preserve"> Decision variables, their bounds, and the baseline design (nominal values of the 2019 study).</w:t>
      </w:r>
    </w:p>
    <w:tbl>
      <w:tblPr>
        <w:tblW w:w="0" w:type="auto"/>
        <w:jc w:val="center"/>
        <w:tblLayout w:type="fixed"/>
        <w:tblLook w:val="04A0" w:firstRow="1" w:lastRow="0" w:firstColumn="1" w:lastColumn="0" w:noHBand="0" w:noVBand="1"/>
      </w:tblPr>
      <w:tblGrid>
        <w:gridCol w:w="1152"/>
        <w:gridCol w:w="4464"/>
        <w:gridCol w:w="864"/>
        <w:gridCol w:w="1584"/>
        <w:gridCol w:w="1296"/>
      </w:tblGrid>
      <w:tr w:rsidR="005E603F" w14:paraId="674EDFA2" w14:textId="77777777">
        <w:trPr>
          <w:jc w:val="center"/>
        </w:trPr>
        <w:tc>
          <w:tcPr>
            <w:tcW w:w="1152"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625AC364" w14:textId="77777777" w:rsidR="005E603F" w:rsidRDefault="00000000">
            <w:r>
              <w:rPr>
                <w:b/>
                <w:sz w:val="18"/>
              </w:rPr>
              <w:t>Variable</w:t>
            </w:r>
          </w:p>
        </w:tc>
        <w:tc>
          <w:tcPr>
            <w:tcW w:w="4464"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4F06B269" w14:textId="77777777" w:rsidR="005E603F" w:rsidRDefault="00000000">
            <w:r>
              <w:rPr>
                <w:b/>
                <w:sz w:val="18"/>
              </w:rPr>
              <w:t>Description</w:t>
            </w:r>
          </w:p>
        </w:tc>
        <w:tc>
          <w:tcPr>
            <w:tcW w:w="864"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4EF7533D" w14:textId="77777777" w:rsidR="005E603F" w:rsidRDefault="00000000">
            <w:pPr>
              <w:jc w:val="center"/>
            </w:pPr>
            <w:r>
              <w:rPr>
                <w:b/>
                <w:sz w:val="18"/>
              </w:rPr>
              <w:t>Unit</w:t>
            </w:r>
          </w:p>
        </w:tc>
        <w:tc>
          <w:tcPr>
            <w:tcW w:w="1584"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014136FC" w14:textId="77777777" w:rsidR="005E603F" w:rsidRDefault="00000000">
            <w:pPr>
              <w:jc w:val="center"/>
            </w:pPr>
            <w:r>
              <w:rPr>
                <w:b/>
                <w:sz w:val="18"/>
              </w:rPr>
              <w:t>Bounds</w:t>
            </w:r>
          </w:p>
        </w:tc>
        <w:tc>
          <w:tcPr>
            <w:tcW w:w="1296"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3DE723A2" w14:textId="77777777" w:rsidR="005E603F" w:rsidRDefault="00000000">
            <w:pPr>
              <w:jc w:val="center"/>
            </w:pPr>
            <w:r>
              <w:rPr>
                <w:b/>
                <w:sz w:val="18"/>
              </w:rPr>
              <w:t>Baseline</w:t>
            </w:r>
          </w:p>
        </w:tc>
      </w:tr>
      <w:tr w:rsidR="005E603F" w14:paraId="28707597" w14:textId="77777777">
        <w:trPr>
          <w:jc w:val="center"/>
        </w:trPr>
        <w:tc>
          <w:tcPr>
            <w:tcW w:w="1152" w:type="dxa"/>
            <w:tcBorders>
              <w:top w:val="nil"/>
              <w:left w:val="nil"/>
              <w:bottom w:val="nil"/>
              <w:right w:val="nil"/>
            </w:tcBorders>
            <w:tcMar>
              <w:top w:w="60" w:type="dxa"/>
              <w:left w:w="80" w:type="dxa"/>
              <w:bottom w:w="60" w:type="dxa"/>
              <w:right w:w="80" w:type="dxa"/>
            </w:tcMar>
          </w:tcPr>
          <w:p w14:paraId="57E630BA" w14:textId="77777777" w:rsidR="005E603F" w:rsidRDefault="00000000">
            <w:r>
              <w:rPr>
                <w:i/>
                <w:sz w:val="18"/>
              </w:rPr>
              <w:t>x</w:t>
            </w:r>
            <w:r>
              <w:rPr>
                <w:sz w:val="18"/>
                <w:vertAlign w:val="subscript"/>
              </w:rPr>
              <w:t>1</w:t>
            </w:r>
          </w:p>
        </w:tc>
        <w:tc>
          <w:tcPr>
            <w:tcW w:w="4464" w:type="dxa"/>
            <w:tcBorders>
              <w:top w:val="nil"/>
              <w:left w:val="nil"/>
              <w:bottom w:val="nil"/>
              <w:right w:val="nil"/>
            </w:tcBorders>
            <w:tcMar>
              <w:top w:w="60" w:type="dxa"/>
              <w:left w:w="80" w:type="dxa"/>
              <w:bottom w:w="60" w:type="dxa"/>
              <w:right w:w="80" w:type="dxa"/>
            </w:tcMar>
          </w:tcPr>
          <w:p w14:paraId="34E83879" w14:textId="77777777" w:rsidR="005E603F" w:rsidRDefault="00000000">
            <w:r>
              <w:rPr>
                <w:sz w:val="18"/>
              </w:rPr>
              <w:t>Temperature of the fresh degreasing bath</w:t>
            </w:r>
          </w:p>
        </w:tc>
        <w:tc>
          <w:tcPr>
            <w:tcW w:w="864" w:type="dxa"/>
            <w:tcBorders>
              <w:top w:val="nil"/>
              <w:left w:val="nil"/>
              <w:bottom w:val="nil"/>
              <w:right w:val="nil"/>
            </w:tcBorders>
            <w:tcMar>
              <w:top w:w="60" w:type="dxa"/>
              <w:left w:w="80" w:type="dxa"/>
              <w:bottom w:w="60" w:type="dxa"/>
              <w:right w:w="80" w:type="dxa"/>
            </w:tcMar>
          </w:tcPr>
          <w:p w14:paraId="4BCB38D2" w14:textId="77777777" w:rsidR="005E603F" w:rsidRDefault="00000000">
            <w:pPr>
              <w:jc w:val="center"/>
            </w:pPr>
            <w:r>
              <w:rPr>
                <w:sz w:val="18"/>
              </w:rPr>
              <w:t>°C</w:t>
            </w:r>
          </w:p>
        </w:tc>
        <w:tc>
          <w:tcPr>
            <w:tcW w:w="1584" w:type="dxa"/>
            <w:tcBorders>
              <w:top w:val="nil"/>
              <w:left w:val="nil"/>
              <w:bottom w:val="nil"/>
              <w:right w:val="nil"/>
            </w:tcBorders>
            <w:tcMar>
              <w:top w:w="60" w:type="dxa"/>
              <w:left w:w="80" w:type="dxa"/>
              <w:bottom w:w="60" w:type="dxa"/>
              <w:right w:w="80" w:type="dxa"/>
            </w:tcMar>
          </w:tcPr>
          <w:p w14:paraId="4E4FB957" w14:textId="77777777" w:rsidR="005E603F" w:rsidRDefault="00000000">
            <w:pPr>
              <w:jc w:val="center"/>
            </w:pPr>
            <w:r>
              <w:rPr>
                <w:sz w:val="18"/>
              </w:rPr>
              <w:t>40 to 60</w:t>
            </w:r>
          </w:p>
        </w:tc>
        <w:tc>
          <w:tcPr>
            <w:tcW w:w="1296" w:type="dxa"/>
            <w:tcBorders>
              <w:top w:val="nil"/>
              <w:left w:val="nil"/>
              <w:bottom w:val="nil"/>
              <w:right w:val="nil"/>
            </w:tcBorders>
            <w:tcMar>
              <w:top w:w="60" w:type="dxa"/>
              <w:left w:w="80" w:type="dxa"/>
              <w:bottom w:w="60" w:type="dxa"/>
              <w:right w:w="80" w:type="dxa"/>
            </w:tcMar>
          </w:tcPr>
          <w:p w14:paraId="63860B68" w14:textId="77777777" w:rsidR="005E603F" w:rsidRDefault="00000000">
            <w:pPr>
              <w:jc w:val="center"/>
            </w:pPr>
            <w:r>
              <w:rPr>
                <w:sz w:val="18"/>
              </w:rPr>
              <w:t>50</w:t>
            </w:r>
          </w:p>
        </w:tc>
      </w:tr>
      <w:tr w:rsidR="005E603F" w14:paraId="5BD3D423" w14:textId="77777777">
        <w:trPr>
          <w:jc w:val="center"/>
        </w:trPr>
        <w:tc>
          <w:tcPr>
            <w:tcW w:w="1152" w:type="dxa"/>
            <w:tcBorders>
              <w:top w:val="nil"/>
              <w:left w:val="nil"/>
              <w:bottom w:val="nil"/>
              <w:right w:val="nil"/>
            </w:tcBorders>
            <w:tcMar>
              <w:top w:w="60" w:type="dxa"/>
              <w:left w:w="80" w:type="dxa"/>
              <w:bottom w:w="60" w:type="dxa"/>
              <w:right w:w="80" w:type="dxa"/>
            </w:tcMar>
          </w:tcPr>
          <w:p w14:paraId="7D5BEF67" w14:textId="77777777" w:rsidR="005E603F" w:rsidRDefault="00000000">
            <w:r>
              <w:rPr>
                <w:i/>
                <w:sz w:val="18"/>
              </w:rPr>
              <w:t>x</w:t>
            </w:r>
            <w:r>
              <w:rPr>
                <w:sz w:val="18"/>
                <w:vertAlign w:val="subscript"/>
              </w:rPr>
              <w:t>2</w:t>
            </w:r>
          </w:p>
        </w:tc>
        <w:tc>
          <w:tcPr>
            <w:tcW w:w="4464" w:type="dxa"/>
            <w:tcBorders>
              <w:top w:val="nil"/>
              <w:left w:val="nil"/>
              <w:bottom w:val="nil"/>
              <w:right w:val="nil"/>
            </w:tcBorders>
            <w:tcMar>
              <w:top w:w="60" w:type="dxa"/>
              <w:left w:w="80" w:type="dxa"/>
              <w:bottom w:w="60" w:type="dxa"/>
              <w:right w:w="80" w:type="dxa"/>
            </w:tcMar>
          </w:tcPr>
          <w:p w14:paraId="4AFC428C" w14:textId="77777777" w:rsidR="005E603F" w:rsidRDefault="00000000">
            <w:r>
              <w:rPr>
                <w:sz w:val="18"/>
              </w:rPr>
              <w:t>HCl concentration of the fresh normal pickling bath</w:t>
            </w:r>
          </w:p>
        </w:tc>
        <w:tc>
          <w:tcPr>
            <w:tcW w:w="864" w:type="dxa"/>
            <w:tcBorders>
              <w:top w:val="nil"/>
              <w:left w:val="nil"/>
              <w:bottom w:val="nil"/>
              <w:right w:val="nil"/>
            </w:tcBorders>
            <w:tcMar>
              <w:top w:w="60" w:type="dxa"/>
              <w:left w:w="80" w:type="dxa"/>
              <w:bottom w:w="60" w:type="dxa"/>
              <w:right w:w="80" w:type="dxa"/>
            </w:tcMar>
          </w:tcPr>
          <w:p w14:paraId="4A91BF90" w14:textId="77777777" w:rsidR="005E603F" w:rsidRDefault="00000000">
            <w:pPr>
              <w:jc w:val="center"/>
            </w:pPr>
            <w:proofErr w:type="spellStart"/>
            <w:r>
              <w:rPr>
                <w:sz w:val="18"/>
              </w:rPr>
              <w:t>wt</w:t>
            </w:r>
            <w:proofErr w:type="spellEnd"/>
            <w:r>
              <w:rPr>
                <w:sz w:val="18"/>
              </w:rPr>
              <w:t>%</w:t>
            </w:r>
          </w:p>
        </w:tc>
        <w:tc>
          <w:tcPr>
            <w:tcW w:w="1584" w:type="dxa"/>
            <w:tcBorders>
              <w:top w:val="nil"/>
              <w:left w:val="nil"/>
              <w:bottom w:val="nil"/>
              <w:right w:val="nil"/>
            </w:tcBorders>
            <w:tcMar>
              <w:top w:w="60" w:type="dxa"/>
              <w:left w:w="80" w:type="dxa"/>
              <w:bottom w:w="60" w:type="dxa"/>
              <w:right w:w="80" w:type="dxa"/>
            </w:tcMar>
          </w:tcPr>
          <w:p w14:paraId="546ED4D2" w14:textId="77777777" w:rsidR="005E603F" w:rsidRDefault="00000000">
            <w:pPr>
              <w:jc w:val="center"/>
            </w:pPr>
            <w:r>
              <w:rPr>
                <w:sz w:val="18"/>
              </w:rPr>
              <w:t>12 to 18</w:t>
            </w:r>
          </w:p>
        </w:tc>
        <w:tc>
          <w:tcPr>
            <w:tcW w:w="1296" w:type="dxa"/>
            <w:tcBorders>
              <w:top w:val="nil"/>
              <w:left w:val="nil"/>
              <w:bottom w:val="nil"/>
              <w:right w:val="nil"/>
            </w:tcBorders>
            <w:tcMar>
              <w:top w:w="60" w:type="dxa"/>
              <w:left w:w="80" w:type="dxa"/>
              <w:bottom w:w="60" w:type="dxa"/>
              <w:right w:w="80" w:type="dxa"/>
            </w:tcMar>
          </w:tcPr>
          <w:p w14:paraId="3AE77081" w14:textId="77777777" w:rsidR="005E603F" w:rsidRDefault="00000000">
            <w:pPr>
              <w:jc w:val="center"/>
            </w:pPr>
            <w:r>
              <w:rPr>
                <w:sz w:val="18"/>
              </w:rPr>
              <w:t>17</w:t>
            </w:r>
          </w:p>
        </w:tc>
      </w:tr>
      <w:tr w:rsidR="005E603F" w14:paraId="218C320C" w14:textId="77777777">
        <w:trPr>
          <w:jc w:val="center"/>
        </w:trPr>
        <w:tc>
          <w:tcPr>
            <w:tcW w:w="1152" w:type="dxa"/>
            <w:tcBorders>
              <w:top w:val="nil"/>
              <w:left w:val="nil"/>
              <w:bottom w:val="nil"/>
              <w:right w:val="nil"/>
            </w:tcBorders>
            <w:tcMar>
              <w:top w:w="60" w:type="dxa"/>
              <w:left w:w="80" w:type="dxa"/>
              <w:bottom w:w="60" w:type="dxa"/>
              <w:right w:w="80" w:type="dxa"/>
            </w:tcMar>
          </w:tcPr>
          <w:p w14:paraId="687E234C" w14:textId="77777777" w:rsidR="005E603F" w:rsidRDefault="00000000">
            <w:r>
              <w:rPr>
                <w:i/>
                <w:sz w:val="18"/>
              </w:rPr>
              <w:t>x</w:t>
            </w:r>
            <w:r>
              <w:rPr>
                <w:sz w:val="18"/>
                <w:vertAlign w:val="subscript"/>
              </w:rPr>
              <w:t>3</w:t>
            </w:r>
          </w:p>
        </w:tc>
        <w:tc>
          <w:tcPr>
            <w:tcW w:w="4464" w:type="dxa"/>
            <w:tcBorders>
              <w:top w:val="nil"/>
              <w:left w:val="nil"/>
              <w:bottom w:val="nil"/>
              <w:right w:val="nil"/>
            </w:tcBorders>
            <w:tcMar>
              <w:top w:w="60" w:type="dxa"/>
              <w:left w:w="80" w:type="dxa"/>
              <w:bottom w:w="60" w:type="dxa"/>
              <w:right w:w="80" w:type="dxa"/>
            </w:tcMar>
          </w:tcPr>
          <w:p w14:paraId="4A1CF99E" w14:textId="77777777" w:rsidR="005E603F" w:rsidRDefault="00000000">
            <w:r>
              <w:rPr>
                <w:sz w:val="18"/>
              </w:rPr>
              <w:t>Dipping time in the normal pickling bath</w:t>
            </w:r>
          </w:p>
        </w:tc>
        <w:tc>
          <w:tcPr>
            <w:tcW w:w="864" w:type="dxa"/>
            <w:tcBorders>
              <w:top w:val="nil"/>
              <w:left w:val="nil"/>
              <w:bottom w:val="nil"/>
              <w:right w:val="nil"/>
            </w:tcBorders>
            <w:tcMar>
              <w:top w:w="60" w:type="dxa"/>
              <w:left w:w="80" w:type="dxa"/>
              <w:bottom w:w="60" w:type="dxa"/>
              <w:right w:w="80" w:type="dxa"/>
            </w:tcMar>
          </w:tcPr>
          <w:p w14:paraId="54A10886" w14:textId="77777777" w:rsidR="005E603F" w:rsidRDefault="00000000">
            <w:pPr>
              <w:jc w:val="center"/>
            </w:pPr>
            <w:r>
              <w:rPr>
                <w:sz w:val="18"/>
              </w:rPr>
              <w:t>s</w:t>
            </w:r>
          </w:p>
        </w:tc>
        <w:tc>
          <w:tcPr>
            <w:tcW w:w="1584" w:type="dxa"/>
            <w:tcBorders>
              <w:top w:val="nil"/>
              <w:left w:val="nil"/>
              <w:bottom w:val="nil"/>
              <w:right w:val="nil"/>
            </w:tcBorders>
            <w:tcMar>
              <w:top w:w="60" w:type="dxa"/>
              <w:left w:w="80" w:type="dxa"/>
              <w:bottom w:w="60" w:type="dxa"/>
              <w:right w:w="80" w:type="dxa"/>
            </w:tcMar>
          </w:tcPr>
          <w:p w14:paraId="40D0EC9F" w14:textId="77777777" w:rsidR="005E603F" w:rsidRDefault="00000000">
            <w:pPr>
              <w:jc w:val="center"/>
            </w:pPr>
            <w:r>
              <w:rPr>
                <w:sz w:val="18"/>
              </w:rPr>
              <w:t>600 to 1,200</w:t>
            </w:r>
          </w:p>
        </w:tc>
        <w:tc>
          <w:tcPr>
            <w:tcW w:w="1296" w:type="dxa"/>
            <w:tcBorders>
              <w:top w:val="nil"/>
              <w:left w:val="nil"/>
              <w:bottom w:val="nil"/>
              <w:right w:val="nil"/>
            </w:tcBorders>
            <w:tcMar>
              <w:top w:w="60" w:type="dxa"/>
              <w:left w:w="80" w:type="dxa"/>
              <w:bottom w:w="60" w:type="dxa"/>
              <w:right w:w="80" w:type="dxa"/>
            </w:tcMar>
          </w:tcPr>
          <w:p w14:paraId="2A1277D7" w14:textId="77777777" w:rsidR="005E603F" w:rsidRDefault="00000000">
            <w:pPr>
              <w:jc w:val="center"/>
            </w:pPr>
            <w:r>
              <w:rPr>
                <w:sz w:val="18"/>
              </w:rPr>
              <w:t>900</w:t>
            </w:r>
          </w:p>
        </w:tc>
      </w:tr>
      <w:tr w:rsidR="005E603F" w14:paraId="28ABB481" w14:textId="77777777">
        <w:trPr>
          <w:jc w:val="center"/>
        </w:trPr>
        <w:tc>
          <w:tcPr>
            <w:tcW w:w="1152" w:type="dxa"/>
            <w:tcBorders>
              <w:top w:val="nil"/>
              <w:left w:val="nil"/>
              <w:bottom w:val="nil"/>
              <w:right w:val="nil"/>
            </w:tcBorders>
            <w:tcMar>
              <w:top w:w="60" w:type="dxa"/>
              <w:left w:w="80" w:type="dxa"/>
              <w:bottom w:w="60" w:type="dxa"/>
              <w:right w:w="80" w:type="dxa"/>
            </w:tcMar>
          </w:tcPr>
          <w:p w14:paraId="1A68C004" w14:textId="77777777" w:rsidR="005E603F" w:rsidRDefault="00000000">
            <w:r>
              <w:rPr>
                <w:i/>
                <w:sz w:val="18"/>
              </w:rPr>
              <w:t>x</w:t>
            </w:r>
            <w:r>
              <w:rPr>
                <w:sz w:val="18"/>
                <w:vertAlign w:val="subscript"/>
              </w:rPr>
              <w:t>4</w:t>
            </w:r>
          </w:p>
        </w:tc>
        <w:tc>
          <w:tcPr>
            <w:tcW w:w="4464" w:type="dxa"/>
            <w:tcBorders>
              <w:top w:val="nil"/>
              <w:left w:val="nil"/>
              <w:bottom w:val="nil"/>
              <w:right w:val="nil"/>
            </w:tcBorders>
            <w:tcMar>
              <w:top w:w="60" w:type="dxa"/>
              <w:left w:w="80" w:type="dxa"/>
              <w:bottom w:w="60" w:type="dxa"/>
              <w:right w:w="80" w:type="dxa"/>
            </w:tcMar>
          </w:tcPr>
          <w:p w14:paraId="3F9B2222" w14:textId="77777777" w:rsidR="005E603F" w:rsidRDefault="00000000">
            <w:r>
              <w:rPr>
                <w:sz w:val="18"/>
              </w:rPr>
              <w:t>Temperature of the fresh flux bath</w:t>
            </w:r>
          </w:p>
        </w:tc>
        <w:tc>
          <w:tcPr>
            <w:tcW w:w="864" w:type="dxa"/>
            <w:tcBorders>
              <w:top w:val="nil"/>
              <w:left w:val="nil"/>
              <w:bottom w:val="nil"/>
              <w:right w:val="nil"/>
            </w:tcBorders>
            <w:tcMar>
              <w:top w:w="60" w:type="dxa"/>
              <w:left w:w="80" w:type="dxa"/>
              <w:bottom w:w="60" w:type="dxa"/>
              <w:right w:w="80" w:type="dxa"/>
            </w:tcMar>
          </w:tcPr>
          <w:p w14:paraId="3D795389" w14:textId="77777777" w:rsidR="005E603F" w:rsidRDefault="00000000">
            <w:pPr>
              <w:jc w:val="center"/>
            </w:pPr>
            <w:r>
              <w:rPr>
                <w:sz w:val="18"/>
              </w:rPr>
              <w:t>°C</w:t>
            </w:r>
          </w:p>
        </w:tc>
        <w:tc>
          <w:tcPr>
            <w:tcW w:w="1584" w:type="dxa"/>
            <w:tcBorders>
              <w:top w:val="nil"/>
              <w:left w:val="nil"/>
              <w:bottom w:val="nil"/>
              <w:right w:val="nil"/>
            </w:tcBorders>
            <w:tcMar>
              <w:top w:w="60" w:type="dxa"/>
              <w:left w:w="80" w:type="dxa"/>
              <w:bottom w:w="60" w:type="dxa"/>
              <w:right w:w="80" w:type="dxa"/>
            </w:tcMar>
          </w:tcPr>
          <w:p w14:paraId="728678CC" w14:textId="77777777" w:rsidR="005E603F" w:rsidRDefault="00000000">
            <w:pPr>
              <w:jc w:val="center"/>
            </w:pPr>
            <w:r>
              <w:rPr>
                <w:sz w:val="18"/>
              </w:rPr>
              <w:t>40 to 60</w:t>
            </w:r>
          </w:p>
        </w:tc>
        <w:tc>
          <w:tcPr>
            <w:tcW w:w="1296" w:type="dxa"/>
            <w:tcBorders>
              <w:top w:val="nil"/>
              <w:left w:val="nil"/>
              <w:bottom w:val="nil"/>
              <w:right w:val="nil"/>
            </w:tcBorders>
            <w:tcMar>
              <w:top w:w="60" w:type="dxa"/>
              <w:left w:w="80" w:type="dxa"/>
              <w:bottom w:w="60" w:type="dxa"/>
              <w:right w:w="80" w:type="dxa"/>
            </w:tcMar>
          </w:tcPr>
          <w:p w14:paraId="2BD515A2" w14:textId="77777777" w:rsidR="005E603F" w:rsidRDefault="00000000">
            <w:pPr>
              <w:jc w:val="center"/>
            </w:pPr>
            <w:r>
              <w:rPr>
                <w:sz w:val="18"/>
              </w:rPr>
              <w:t>50</w:t>
            </w:r>
          </w:p>
        </w:tc>
      </w:tr>
      <w:tr w:rsidR="005E603F" w14:paraId="40AC8738" w14:textId="77777777">
        <w:trPr>
          <w:jc w:val="center"/>
        </w:trPr>
        <w:tc>
          <w:tcPr>
            <w:tcW w:w="1152" w:type="dxa"/>
            <w:tcBorders>
              <w:top w:val="nil"/>
              <w:left w:val="nil"/>
              <w:bottom w:val="nil"/>
              <w:right w:val="nil"/>
            </w:tcBorders>
            <w:tcMar>
              <w:top w:w="60" w:type="dxa"/>
              <w:left w:w="80" w:type="dxa"/>
              <w:bottom w:w="60" w:type="dxa"/>
              <w:right w:w="80" w:type="dxa"/>
            </w:tcMar>
          </w:tcPr>
          <w:p w14:paraId="5E388BBC" w14:textId="77777777" w:rsidR="005E603F" w:rsidRDefault="00000000">
            <w:r>
              <w:rPr>
                <w:i/>
                <w:sz w:val="18"/>
              </w:rPr>
              <w:t>x</w:t>
            </w:r>
            <w:r>
              <w:rPr>
                <w:sz w:val="18"/>
                <w:vertAlign w:val="subscript"/>
              </w:rPr>
              <w:t>5</w:t>
            </w:r>
          </w:p>
        </w:tc>
        <w:tc>
          <w:tcPr>
            <w:tcW w:w="4464" w:type="dxa"/>
            <w:tcBorders>
              <w:top w:val="nil"/>
              <w:left w:val="nil"/>
              <w:bottom w:val="nil"/>
              <w:right w:val="nil"/>
            </w:tcBorders>
            <w:tcMar>
              <w:top w:w="60" w:type="dxa"/>
              <w:left w:w="80" w:type="dxa"/>
              <w:bottom w:w="60" w:type="dxa"/>
              <w:right w:w="80" w:type="dxa"/>
            </w:tcMar>
          </w:tcPr>
          <w:p w14:paraId="3A558117" w14:textId="77777777" w:rsidR="005E603F" w:rsidRDefault="00000000">
            <w:r>
              <w:rPr>
                <w:sz w:val="18"/>
              </w:rPr>
              <w:t>pH of the fresh flux bath</w:t>
            </w:r>
          </w:p>
        </w:tc>
        <w:tc>
          <w:tcPr>
            <w:tcW w:w="864" w:type="dxa"/>
            <w:tcBorders>
              <w:top w:val="nil"/>
              <w:left w:val="nil"/>
              <w:bottom w:val="nil"/>
              <w:right w:val="nil"/>
            </w:tcBorders>
            <w:tcMar>
              <w:top w:w="60" w:type="dxa"/>
              <w:left w:w="80" w:type="dxa"/>
              <w:bottom w:w="60" w:type="dxa"/>
              <w:right w:w="80" w:type="dxa"/>
            </w:tcMar>
          </w:tcPr>
          <w:p w14:paraId="7D46285E" w14:textId="77777777" w:rsidR="005E603F" w:rsidRDefault="00000000">
            <w:pPr>
              <w:jc w:val="center"/>
            </w:pPr>
            <w:r>
              <w:rPr>
                <w:sz w:val="18"/>
              </w:rPr>
              <w:t>–</w:t>
            </w:r>
          </w:p>
        </w:tc>
        <w:tc>
          <w:tcPr>
            <w:tcW w:w="1584" w:type="dxa"/>
            <w:tcBorders>
              <w:top w:val="nil"/>
              <w:left w:val="nil"/>
              <w:bottom w:val="nil"/>
              <w:right w:val="nil"/>
            </w:tcBorders>
            <w:tcMar>
              <w:top w:w="60" w:type="dxa"/>
              <w:left w:w="80" w:type="dxa"/>
              <w:bottom w:w="60" w:type="dxa"/>
              <w:right w:w="80" w:type="dxa"/>
            </w:tcMar>
          </w:tcPr>
          <w:p w14:paraId="07879643" w14:textId="77777777" w:rsidR="005E603F" w:rsidRDefault="00000000">
            <w:pPr>
              <w:jc w:val="center"/>
            </w:pPr>
            <w:r>
              <w:rPr>
                <w:sz w:val="18"/>
              </w:rPr>
              <w:t>4.0 to 5.0</w:t>
            </w:r>
          </w:p>
        </w:tc>
        <w:tc>
          <w:tcPr>
            <w:tcW w:w="1296" w:type="dxa"/>
            <w:tcBorders>
              <w:top w:val="nil"/>
              <w:left w:val="nil"/>
              <w:bottom w:val="nil"/>
              <w:right w:val="nil"/>
            </w:tcBorders>
            <w:tcMar>
              <w:top w:w="60" w:type="dxa"/>
              <w:left w:w="80" w:type="dxa"/>
              <w:bottom w:w="60" w:type="dxa"/>
              <w:right w:w="80" w:type="dxa"/>
            </w:tcMar>
          </w:tcPr>
          <w:p w14:paraId="779C4268" w14:textId="77777777" w:rsidR="005E603F" w:rsidRDefault="00000000">
            <w:pPr>
              <w:jc w:val="center"/>
            </w:pPr>
            <w:r>
              <w:rPr>
                <w:sz w:val="18"/>
              </w:rPr>
              <w:t>4.5</w:t>
            </w:r>
          </w:p>
        </w:tc>
      </w:tr>
      <w:tr w:rsidR="005E603F" w14:paraId="7D606FAC" w14:textId="77777777">
        <w:trPr>
          <w:jc w:val="center"/>
        </w:trPr>
        <w:tc>
          <w:tcPr>
            <w:tcW w:w="1152" w:type="dxa"/>
            <w:tcBorders>
              <w:top w:val="nil"/>
              <w:left w:val="nil"/>
              <w:bottom w:val="nil"/>
              <w:right w:val="nil"/>
            </w:tcBorders>
            <w:tcMar>
              <w:top w:w="60" w:type="dxa"/>
              <w:left w:w="80" w:type="dxa"/>
              <w:bottom w:w="60" w:type="dxa"/>
              <w:right w:w="80" w:type="dxa"/>
            </w:tcMar>
          </w:tcPr>
          <w:p w14:paraId="35CC375A" w14:textId="77777777" w:rsidR="005E603F" w:rsidRDefault="00000000">
            <w:r>
              <w:rPr>
                <w:i/>
                <w:sz w:val="18"/>
              </w:rPr>
              <w:t>x</w:t>
            </w:r>
            <w:r>
              <w:rPr>
                <w:sz w:val="18"/>
                <w:vertAlign w:val="subscript"/>
              </w:rPr>
              <w:t>6</w:t>
            </w:r>
          </w:p>
        </w:tc>
        <w:tc>
          <w:tcPr>
            <w:tcW w:w="4464" w:type="dxa"/>
            <w:tcBorders>
              <w:top w:val="nil"/>
              <w:left w:val="nil"/>
              <w:bottom w:val="nil"/>
              <w:right w:val="nil"/>
            </w:tcBorders>
            <w:tcMar>
              <w:top w:w="60" w:type="dxa"/>
              <w:left w:w="80" w:type="dxa"/>
              <w:bottom w:w="60" w:type="dxa"/>
              <w:right w:w="80" w:type="dxa"/>
            </w:tcMar>
          </w:tcPr>
          <w:p w14:paraId="76744086" w14:textId="77777777" w:rsidR="005E603F" w:rsidRDefault="00000000">
            <w:r>
              <w:rPr>
                <w:sz w:val="18"/>
              </w:rPr>
              <w:t>Total salt concentration of the flux (ZnCl</w:t>
            </w:r>
            <w:r>
              <w:rPr>
                <w:sz w:val="18"/>
                <w:vertAlign w:val="subscript"/>
              </w:rPr>
              <w:t>2</w:t>
            </w:r>
            <w:r>
              <w:rPr>
                <w:sz w:val="18"/>
              </w:rPr>
              <w:t>/NH</w:t>
            </w:r>
            <w:r>
              <w:rPr>
                <w:sz w:val="18"/>
                <w:vertAlign w:val="subscript"/>
              </w:rPr>
              <w:t>4</w:t>
            </w:r>
            <w:r>
              <w:rPr>
                <w:sz w:val="18"/>
              </w:rPr>
              <w:t>Cl 60/40)</w:t>
            </w:r>
          </w:p>
        </w:tc>
        <w:tc>
          <w:tcPr>
            <w:tcW w:w="864" w:type="dxa"/>
            <w:tcBorders>
              <w:top w:val="nil"/>
              <w:left w:val="nil"/>
              <w:bottom w:val="nil"/>
              <w:right w:val="nil"/>
            </w:tcBorders>
            <w:tcMar>
              <w:top w:w="60" w:type="dxa"/>
              <w:left w:w="80" w:type="dxa"/>
              <w:bottom w:w="60" w:type="dxa"/>
              <w:right w:w="80" w:type="dxa"/>
            </w:tcMar>
          </w:tcPr>
          <w:p w14:paraId="64DC43CC" w14:textId="77777777" w:rsidR="005E603F" w:rsidRDefault="00000000">
            <w:pPr>
              <w:jc w:val="center"/>
            </w:pPr>
            <w:r>
              <w:rPr>
                <w:sz w:val="18"/>
              </w:rPr>
              <w:t>g/L</w:t>
            </w:r>
          </w:p>
        </w:tc>
        <w:tc>
          <w:tcPr>
            <w:tcW w:w="1584" w:type="dxa"/>
            <w:tcBorders>
              <w:top w:val="nil"/>
              <w:left w:val="nil"/>
              <w:bottom w:val="nil"/>
              <w:right w:val="nil"/>
            </w:tcBorders>
            <w:tcMar>
              <w:top w:w="60" w:type="dxa"/>
              <w:left w:w="80" w:type="dxa"/>
              <w:bottom w:w="60" w:type="dxa"/>
              <w:right w:w="80" w:type="dxa"/>
            </w:tcMar>
          </w:tcPr>
          <w:p w14:paraId="7121D155" w14:textId="77777777" w:rsidR="005E603F" w:rsidRDefault="00000000">
            <w:pPr>
              <w:jc w:val="center"/>
            </w:pPr>
            <w:r>
              <w:rPr>
                <w:sz w:val="18"/>
              </w:rPr>
              <w:t>300 to 500</w:t>
            </w:r>
          </w:p>
        </w:tc>
        <w:tc>
          <w:tcPr>
            <w:tcW w:w="1296" w:type="dxa"/>
            <w:tcBorders>
              <w:top w:val="nil"/>
              <w:left w:val="nil"/>
              <w:bottom w:val="nil"/>
              <w:right w:val="nil"/>
            </w:tcBorders>
            <w:tcMar>
              <w:top w:w="60" w:type="dxa"/>
              <w:left w:w="80" w:type="dxa"/>
              <w:bottom w:w="60" w:type="dxa"/>
              <w:right w:w="80" w:type="dxa"/>
            </w:tcMar>
          </w:tcPr>
          <w:p w14:paraId="39689D1F" w14:textId="77777777" w:rsidR="005E603F" w:rsidRDefault="00000000">
            <w:pPr>
              <w:jc w:val="center"/>
            </w:pPr>
            <w:r>
              <w:rPr>
                <w:sz w:val="18"/>
              </w:rPr>
              <w:t>400</w:t>
            </w:r>
          </w:p>
        </w:tc>
      </w:tr>
      <w:tr w:rsidR="005E603F" w14:paraId="0D3710A3" w14:textId="77777777">
        <w:trPr>
          <w:jc w:val="center"/>
        </w:trPr>
        <w:tc>
          <w:tcPr>
            <w:tcW w:w="1152" w:type="dxa"/>
            <w:tcBorders>
              <w:top w:val="nil"/>
              <w:left w:val="nil"/>
              <w:bottom w:val="single" w:sz="8" w:space="0" w:color="000000"/>
              <w:right w:val="nil"/>
            </w:tcBorders>
            <w:tcMar>
              <w:top w:w="60" w:type="dxa"/>
              <w:left w:w="80" w:type="dxa"/>
              <w:bottom w:w="60" w:type="dxa"/>
              <w:right w:w="80" w:type="dxa"/>
            </w:tcMar>
          </w:tcPr>
          <w:p w14:paraId="77A90946" w14:textId="77777777" w:rsidR="005E603F" w:rsidRDefault="00000000">
            <w:r>
              <w:rPr>
                <w:i/>
                <w:sz w:val="18"/>
              </w:rPr>
              <w:t>x</w:t>
            </w:r>
            <w:r>
              <w:rPr>
                <w:sz w:val="18"/>
                <w:vertAlign w:val="subscript"/>
              </w:rPr>
              <w:t>7</w:t>
            </w:r>
          </w:p>
        </w:tc>
        <w:tc>
          <w:tcPr>
            <w:tcW w:w="4464" w:type="dxa"/>
            <w:tcBorders>
              <w:top w:val="nil"/>
              <w:left w:val="nil"/>
              <w:bottom w:val="single" w:sz="8" w:space="0" w:color="000000"/>
              <w:right w:val="nil"/>
            </w:tcBorders>
            <w:tcMar>
              <w:top w:w="60" w:type="dxa"/>
              <w:left w:w="80" w:type="dxa"/>
              <w:bottom w:w="60" w:type="dxa"/>
              <w:right w:w="80" w:type="dxa"/>
            </w:tcMar>
          </w:tcPr>
          <w:p w14:paraId="2AD5C2EF" w14:textId="77777777" w:rsidR="005E603F" w:rsidRDefault="00000000">
            <w:r>
              <w:rPr>
                <w:sz w:val="18"/>
              </w:rPr>
              <w:t>Temperature of the zinc bath</w:t>
            </w:r>
          </w:p>
        </w:tc>
        <w:tc>
          <w:tcPr>
            <w:tcW w:w="864" w:type="dxa"/>
            <w:tcBorders>
              <w:top w:val="nil"/>
              <w:left w:val="nil"/>
              <w:bottom w:val="single" w:sz="8" w:space="0" w:color="000000"/>
              <w:right w:val="nil"/>
            </w:tcBorders>
            <w:tcMar>
              <w:top w:w="60" w:type="dxa"/>
              <w:left w:w="80" w:type="dxa"/>
              <w:bottom w:w="60" w:type="dxa"/>
              <w:right w:w="80" w:type="dxa"/>
            </w:tcMar>
          </w:tcPr>
          <w:p w14:paraId="65A41214" w14:textId="77777777" w:rsidR="005E603F" w:rsidRDefault="00000000">
            <w:pPr>
              <w:jc w:val="center"/>
            </w:pPr>
            <w:r>
              <w:rPr>
                <w:sz w:val="18"/>
              </w:rPr>
              <w:t>°C</w:t>
            </w:r>
          </w:p>
        </w:tc>
        <w:tc>
          <w:tcPr>
            <w:tcW w:w="1584" w:type="dxa"/>
            <w:tcBorders>
              <w:top w:val="nil"/>
              <w:left w:val="nil"/>
              <w:bottom w:val="single" w:sz="8" w:space="0" w:color="000000"/>
              <w:right w:val="nil"/>
            </w:tcBorders>
            <w:tcMar>
              <w:top w:w="60" w:type="dxa"/>
              <w:left w:w="80" w:type="dxa"/>
              <w:bottom w:w="60" w:type="dxa"/>
              <w:right w:w="80" w:type="dxa"/>
            </w:tcMar>
          </w:tcPr>
          <w:p w14:paraId="62567F80" w14:textId="77777777" w:rsidR="005E603F" w:rsidRDefault="00000000">
            <w:pPr>
              <w:jc w:val="center"/>
            </w:pPr>
            <w:r>
              <w:rPr>
                <w:sz w:val="18"/>
              </w:rPr>
              <w:t>445 to 455</w:t>
            </w:r>
          </w:p>
        </w:tc>
        <w:tc>
          <w:tcPr>
            <w:tcW w:w="1296" w:type="dxa"/>
            <w:tcBorders>
              <w:top w:val="nil"/>
              <w:left w:val="nil"/>
              <w:bottom w:val="single" w:sz="8" w:space="0" w:color="000000"/>
              <w:right w:val="nil"/>
            </w:tcBorders>
            <w:tcMar>
              <w:top w:w="60" w:type="dxa"/>
              <w:left w:w="80" w:type="dxa"/>
              <w:bottom w:w="60" w:type="dxa"/>
              <w:right w:w="80" w:type="dxa"/>
            </w:tcMar>
          </w:tcPr>
          <w:p w14:paraId="2B664378" w14:textId="77777777" w:rsidR="005E603F" w:rsidRDefault="00000000">
            <w:pPr>
              <w:jc w:val="center"/>
            </w:pPr>
            <w:r>
              <w:rPr>
                <w:sz w:val="18"/>
              </w:rPr>
              <w:t>450</w:t>
            </w:r>
          </w:p>
        </w:tc>
      </w:tr>
    </w:tbl>
    <w:p w14:paraId="1485FFFB" w14:textId="77777777" w:rsidR="005E603F" w:rsidRDefault="005E603F">
      <w:pPr>
        <w:spacing w:after="120"/>
      </w:pPr>
    </w:p>
    <w:p w14:paraId="73B9ED96" w14:textId="3F6882E8" w:rsidR="005E603F" w:rsidRDefault="0004609D">
      <w:pPr>
        <w:spacing w:line="480" w:lineRule="auto"/>
        <w:ind w:firstLine="720"/>
        <w:jc w:val="both"/>
      </w:pPr>
      <w:r>
        <w:t xml:space="preserve">The optimization problem, stated in </w:t>
      </w:r>
      <w:proofErr w:type="spellStart"/>
      <w:r>
        <w:t>Eqs</w:t>
      </w:r>
      <w:proofErr w:type="spellEnd"/>
      <w:r>
        <w:t>. (</w:t>
      </w:r>
      <w:r>
        <w:fldChar w:fldCharType="begin"/>
      </w:r>
      <w:r>
        <w:instrText xml:space="preserve"> REF _RefEq4 \h \* MERGEFORMAT </w:instrText>
      </w:r>
      <w:r>
        <w:fldChar w:fldCharType="separate"/>
      </w:r>
      <w:r w:rsidR="00227590" w:rsidRPr="00227590">
        <w:rPr>
          <w:noProof/>
          <w:color w:val="000000"/>
        </w:rPr>
        <w:t>4</w:t>
      </w:r>
      <w:r>
        <w:fldChar w:fldCharType="end"/>
      </w:r>
      <w:r>
        <w:t>) to (</w:t>
      </w:r>
      <w:r>
        <w:fldChar w:fldCharType="begin"/>
      </w:r>
      <w:r>
        <w:instrText xml:space="preserve"> REF _RefEq6 \h \* MERGEFORMAT </w:instrText>
      </w:r>
      <w:r>
        <w:fldChar w:fldCharType="separate"/>
      </w:r>
      <w:r w:rsidR="00227590" w:rsidRPr="00227590">
        <w:rPr>
          <w:noProof/>
          <w:color w:val="000000"/>
        </w:rPr>
        <w:t>6</w:t>
      </w:r>
      <w:r>
        <w:fldChar w:fldCharType="end"/>
      </w:r>
      <w:r>
        <w:t>), has four objectives, all written for minimization, and two inequality constraints.</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36"/>
        <w:gridCol w:w="7488"/>
        <w:gridCol w:w="936"/>
      </w:tblGrid>
      <w:tr w:rsidR="004C3A34" w14:paraId="2E73BFC4" w14:textId="77777777">
        <w:tblPrEx>
          <w:tblCellMar>
            <w:top w:w="0" w:type="dxa"/>
            <w:bottom w:w="0" w:type="dxa"/>
          </w:tblCellMar>
        </w:tblPrEx>
        <w:trPr>
          <w:cantSplit/>
          <w:jc w:val="center"/>
        </w:trPr>
        <w:tc>
          <w:tcPr>
            <w:tcW w:w="936" w:type="dxa"/>
            <w:vAlign w:val="center"/>
          </w:tcPr>
          <w:p w14:paraId="5F536B8C" w14:textId="77777777" w:rsidR="004C3A34" w:rsidRDefault="004C3A34" w:rsidP="008A1F33">
            <w:pPr>
              <w:spacing w:before="240" w:after="120"/>
            </w:pPr>
          </w:p>
        </w:tc>
        <w:tc>
          <w:tcPr>
            <w:tcW w:w="7488" w:type="dxa"/>
            <w:vAlign w:val="center"/>
          </w:tcPr>
          <w:p w14:paraId="1E51B8F2" w14:textId="77777777" w:rsidR="004C3A34" w:rsidRDefault="004C3A34" w:rsidP="008A1F33">
            <w:pPr>
              <w:spacing w:before="240" w:after="120"/>
              <w:jc w:val="center"/>
            </w:pPr>
            <m:oMathPara>
              <m:oMathParaPr>
                <m:jc m:val="center"/>
              </m:oMathParaPr>
              <m:oMath>
                <m:func>
                  <m:funcPr>
                    <m:ctrlPr>
                      <w:rPr>
                        <w:rFonts w:ascii="Cambria Math" w:hAnsi="Cambria Math"/>
                      </w:rPr>
                    </m:ctrlPr>
                  </m:funcPr>
                  <m:fName>
                    <m:r>
                      <m:rPr>
                        <m:sty m:val="p"/>
                      </m:rPr>
                      <w:rPr>
                        <w:rFonts w:ascii="Cambria Math" w:hAnsi="Cambria Math"/>
                      </w:rPr>
                      <m:t>min</m:t>
                    </m:r>
                  </m:fName>
                  <m:e>
                    <m:r>
                      <w:rPr>
                        <w:rFonts w:ascii="Cambria Math" w:hAnsi="Cambria Math"/>
                      </w:rPr>
                      <m:t>F</m:t>
                    </m:r>
                    <m:d>
                      <m:dPr>
                        <m:ctrlPr>
                          <w:rPr>
                            <w:rFonts w:ascii="Cambria Math" w:hAnsi="Cambria Math"/>
                          </w:rPr>
                        </m:ctrlPr>
                      </m:dPr>
                      <m:e>
                        <m:r>
                          <w:rPr>
                            <w:rFonts w:ascii="Cambria Math" w:hAnsi="Cambria Math"/>
                          </w:rPr>
                          <m:t>x</m:t>
                        </m:r>
                      </m:e>
                    </m:d>
                  </m:e>
                </m:func>
                <m:r>
                  <w:rPr>
                    <w:rFonts w:ascii="Cambria Math" w:hAnsi="Cambria Math"/>
                  </w:rPr>
                  <m:t>=</m:t>
                </m:r>
                <m:d>
                  <m:dPr>
                    <m:begChr m:val="["/>
                    <m:sepChr m:val=","/>
                    <m:endChr m:val="]"/>
                    <m:ctrlPr>
                      <w:rPr>
                        <w:rFonts w:ascii="Cambria Math" w:hAnsi="Cambria Math"/>
                      </w:rPr>
                    </m:ctrlPr>
                  </m:dPr>
                  <m:e>
                    <m:r>
                      <w:rPr>
                        <w:rFonts w:ascii="Cambria Math" w:hAnsi="Cambria Math"/>
                      </w:rPr>
                      <m:t>-</m:t>
                    </m:r>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P</m:t>
                            </m:r>
                          </m:sub>
                        </m:sSub>
                      </m:e>
                    </m:d>
                  </m:e>
                  <m:e>
                    <m:r>
                      <m:rPr>
                        <m:sty m:val="p"/>
                      </m:rPr>
                      <w:rPr>
                        <w:rFonts w:ascii="Cambria Math" w:hAnsi="Cambria Math"/>
                      </w:rPr>
                      <m:t>E</m:t>
                    </m:r>
                    <m:d>
                      <m:dPr>
                        <m:begChr m:val="["/>
                        <m:endChr m:val="]"/>
                        <m:ctrlPr>
                          <w:rPr>
                            <w:rFonts w:ascii="Cambria Math" w:hAnsi="Cambria Math"/>
                          </w:rPr>
                        </m:ctrlPr>
                      </m:dPr>
                      <m:e>
                        <m:r>
                          <m:rPr>
                            <m:sty m:val="p"/>
                          </m:rPr>
                          <w:rPr>
                            <w:rFonts w:ascii="Cambria Math" w:hAnsi="Cambria Math"/>
                          </w:rPr>
                          <m:t>COM</m:t>
                        </m:r>
                      </m:e>
                    </m:d>
                  </m:e>
                  <m:e>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l-poll</m:t>
                            </m:r>
                          </m:sub>
                        </m:sSub>
                      </m:e>
                    </m:d>
                  </m:e>
                  <m:e>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WT</m:t>
                            </m:r>
                          </m:sub>
                        </m:sSub>
                      </m:e>
                    </m:d>
                  </m:e>
                </m:d>
              </m:oMath>
            </m:oMathPara>
          </w:p>
        </w:tc>
        <w:tc>
          <w:tcPr>
            <w:tcW w:w="936" w:type="dxa"/>
            <w:vAlign w:val="center"/>
          </w:tcPr>
          <w:p w14:paraId="4030E2A6" w14:textId="4A4132BB" w:rsidR="004C3A34" w:rsidRDefault="004C3A34" w:rsidP="008A1F33">
            <w:pPr>
              <w:spacing w:before="240" w:after="120"/>
              <w:jc w:val="right"/>
            </w:pPr>
            <w:r>
              <w:t>(</w:t>
            </w:r>
            <w:fldSimple w:instr=" SEQ Equation \* ARABIC ">
              <w:bookmarkStart w:id="13" w:name="_RefEq4"/>
              <w:r w:rsidR="00227590">
                <w:rPr>
                  <w:noProof/>
                </w:rPr>
                <w:t>4</w:t>
              </w:r>
              <w:bookmarkEnd w:id="13"/>
            </w:fldSimple>
            <w:r>
              <w:t>)</w:t>
            </w:r>
          </w:p>
        </w:tc>
      </w:tr>
      <w:tr w:rsidR="004C3A34" w14:paraId="2B7A8F8A" w14:textId="77777777">
        <w:tblPrEx>
          <w:tblCellMar>
            <w:top w:w="0" w:type="dxa"/>
            <w:bottom w:w="0" w:type="dxa"/>
          </w:tblCellMar>
        </w:tblPrEx>
        <w:trPr>
          <w:cantSplit/>
          <w:jc w:val="center"/>
        </w:trPr>
        <w:tc>
          <w:tcPr>
            <w:tcW w:w="936" w:type="dxa"/>
            <w:vAlign w:val="center"/>
          </w:tcPr>
          <w:p w14:paraId="2990844B" w14:textId="77777777" w:rsidR="004C3A34" w:rsidRDefault="004C3A34" w:rsidP="008A1F33">
            <w:pPr>
              <w:spacing w:before="120" w:after="120"/>
            </w:pPr>
          </w:p>
        </w:tc>
        <w:tc>
          <w:tcPr>
            <w:tcW w:w="7488" w:type="dxa"/>
            <w:vAlign w:val="center"/>
          </w:tcPr>
          <w:p w14:paraId="282FECAA" w14:textId="77777777" w:rsidR="004C3A34" w:rsidRDefault="004C3A34" w:rsidP="008A1F33">
            <w:pPr>
              <w:spacing w:before="120" w:after="12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δ</m:t>
                        </m:r>
                      </m:sub>
                    </m:sSub>
                  </m:e>
                </m:d>
                <m:r>
                  <w:rPr>
                    <w:rFonts w:ascii="Cambria Math" w:hAnsi="Cambria Math"/>
                  </w:rPr>
                  <m:t>-0.02≤0</m:t>
                </m:r>
              </m:oMath>
            </m:oMathPara>
          </w:p>
        </w:tc>
        <w:tc>
          <w:tcPr>
            <w:tcW w:w="936" w:type="dxa"/>
            <w:vAlign w:val="center"/>
          </w:tcPr>
          <w:p w14:paraId="5197112B" w14:textId="22773402" w:rsidR="004C3A34" w:rsidRDefault="004C3A34" w:rsidP="008A1F33">
            <w:pPr>
              <w:spacing w:before="120" w:after="120"/>
              <w:jc w:val="right"/>
            </w:pPr>
            <w:r>
              <w:t>(</w:t>
            </w:r>
            <w:fldSimple w:instr=" SEQ Equation \* ARABIC ">
              <w:bookmarkStart w:id="14" w:name="_RefEq5"/>
              <w:r w:rsidR="00227590">
                <w:rPr>
                  <w:noProof/>
                </w:rPr>
                <w:t>5</w:t>
              </w:r>
              <w:bookmarkEnd w:id="14"/>
            </w:fldSimple>
            <w:r>
              <w:t>)</w:t>
            </w:r>
          </w:p>
        </w:tc>
      </w:tr>
      <w:tr w:rsidR="004C3A34" w14:paraId="390B3EAF" w14:textId="77777777">
        <w:tblPrEx>
          <w:tblCellMar>
            <w:top w:w="0" w:type="dxa"/>
            <w:bottom w:w="0" w:type="dxa"/>
          </w:tblCellMar>
        </w:tblPrEx>
        <w:trPr>
          <w:cantSplit/>
          <w:jc w:val="center"/>
        </w:trPr>
        <w:tc>
          <w:tcPr>
            <w:tcW w:w="936" w:type="dxa"/>
            <w:vAlign w:val="center"/>
          </w:tcPr>
          <w:p w14:paraId="17E170B6" w14:textId="77777777" w:rsidR="004C3A34" w:rsidRDefault="004C3A34" w:rsidP="008A1F33">
            <w:pPr>
              <w:spacing w:before="120" w:after="240"/>
            </w:pPr>
          </w:p>
        </w:tc>
        <w:tc>
          <w:tcPr>
            <w:tcW w:w="7488" w:type="dxa"/>
            <w:vAlign w:val="center"/>
          </w:tcPr>
          <w:p w14:paraId="3EADA5D9" w14:textId="77777777" w:rsidR="004C3A34" w:rsidRDefault="004C3A34" w:rsidP="008A1F33">
            <w:pPr>
              <w:spacing w:before="120" w:after="24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Fe,pick</m:t>
                        </m:r>
                      </m:sub>
                    </m:sSub>
                  </m:e>
                </m:d>
                <m:r>
                  <w:rPr>
                    <w:rFonts w:ascii="Cambria Math" w:hAnsi="Cambria Math"/>
                  </w:rPr>
                  <m:t>-150</m:t>
                </m:r>
                <m:r>
                  <m:rPr>
                    <m:sty m:val="p"/>
                  </m:rPr>
                  <w:rPr>
                    <w:rFonts w:ascii="Cambria Math" w:hAnsi="Cambria Math"/>
                  </w:rPr>
                  <m:t xml:space="preserve"> g/L</m:t>
                </m:r>
                <m:r>
                  <w:rPr>
                    <w:rFonts w:ascii="Cambria Math" w:hAnsi="Cambria Math"/>
                  </w:rPr>
                  <m:t>≤0</m:t>
                </m:r>
              </m:oMath>
            </m:oMathPara>
          </w:p>
        </w:tc>
        <w:tc>
          <w:tcPr>
            <w:tcW w:w="936" w:type="dxa"/>
            <w:vAlign w:val="center"/>
          </w:tcPr>
          <w:p w14:paraId="26C0445C" w14:textId="0E79CCA8" w:rsidR="004C3A34" w:rsidRDefault="004C3A34" w:rsidP="008A1F33">
            <w:pPr>
              <w:spacing w:before="120" w:after="240"/>
              <w:jc w:val="right"/>
            </w:pPr>
            <w:r>
              <w:t>(</w:t>
            </w:r>
            <w:fldSimple w:instr=" SEQ Equation \* ARABIC ">
              <w:bookmarkStart w:id="15" w:name="_RefEq6"/>
              <w:r w:rsidR="00227590">
                <w:rPr>
                  <w:noProof/>
                </w:rPr>
                <w:t>6</w:t>
              </w:r>
              <w:bookmarkEnd w:id="15"/>
            </w:fldSimple>
            <w:r>
              <w:t>)</w:t>
            </w:r>
          </w:p>
        </w:tc>
      </w:tr>
    </w:tbl>
    <w:p w14:paraId="632F7FAC" w14:textId="4A008BC0" w:rsidR="005E603F" w:rsidRDefault="0004609D" w:rsidP="00432DDE">
      <w:pPr>
        <w:spacing w:line="480" w:lineRule="auto"/>
        <w:ind w:firstLine="720"/>
        <w:jc w:val="both"/>
      </w:pPr>
      <w:r>
        <w:t xml:space="preserve">In </w:t>
      </w:r>
      <w:proofErr w:type="spellStart"/>
      <w:r>
        <w:t>Eqs</w:t>
      </w:r>
      <w:proofErr w:type="spellEnd"/>
      <w:r>
        <w:t>. (</w:t>
      </w:r>
      <w:r>
        <w:fldChar w:fldCharType="begin"/>
      </w:r>
      <w:r>
        <w:instrText xml:space="preserve"> REF _RefEq4 \h \* MERGEFORMAT </w:instrText>
      </w:r>
      <w:r>
        <w:fldChar w:fldCharType="separate"/>
      </w:r>
      <w:r w:rsidR="00227590" w:rsidRPr="00227590">
        <w:rPr>
          <w:noProof/>
          <w:color w:val="000000"/>
        </w:rPr>
        <w:t>4</w:t>
      </w:r>
      <w:r>
        <w:fldChar w:fldCharType="end"/>
      </w:r>
      <w:r>
        <w:t>) to (</w:t>
      </w:r>
      <w:r>
        <w:fldChar w:fldCharType="begin"/>
      </w:r>
      <w:r>
        <w:instrText xml:space="preserve"> REF _RefEq6 \h \* MERGEFORMAT </w:instrText>
      </w:r>
      <w:r>
        <w:fldChar w:fldCharType="separate"/>
      </w:r>
      <w:r w:rsidR="00227590" w:rsidRPr="00227590">
        <w:rPr>
          <w:noProof/>
          <w:color w:val="000000"/>
        </w:rPr>
        <w:t>6</w:t>
      </w:r>
      <w:r>
        <w:fldChar w:fldCharType="end"/>
      </w:r>
      <w:r>
        <w:t>), COM is the annual cost</w:t>
      </w:r>
      <w:r w:rsidR="00000000">
        <w:t xml:space="preserve"> of manufacture (USD), </w:t>
      </w:r>
      <w:proofErr w:type="spellStart"/>
      <w:r w:rsidR="00000000">
        <w:rPr>
          <w:i/>
        </w:rPr>
        <w:t>V</w:t>
      </w:r>
      <w:r w:rsidR="00000000">
        <w:rPr>
          <w:vertAlign w:val="subscript"/>
        </w:rPr>
        <w:t>l</w:t>
      </w:r>
      <w:proofErr w:type="spellEnd"/>
      <w:r w:rsidR="00000000">
        <w:rPr>
          <w:vertAlign w:val="subscript"/>
        </w:rPr>
        <w:t>-poll</w:t>
      </w:r>
      <w:r w:rsidR="00000000">
        <w:t xml:space="preserve"> the annual volume of polluted liquid waste (m</w:t>
      </w:r>
      <w:r w:rsidR="00000000">
        <w:rPr>
          <w:vertAlign w:val="superscript"/>
        </w:rPr>
        <w:t>3</w:t>
      </w:r>
      <w:r w:rsidR="00000000">
        <w:t xml:space="preserve">), and </w:t>
      </w:r>
      <w:r w:rsidR="00000000">
        <w:rPr>
          <w:i/>
        </w:rPr>
        <w:t>V</w:t>
      </w:r>
      <w:r w:rsidR="00000000">
        <w:rPr>
          <w:vertAlign w:val="subscript"/>
        </w:rPr>
        <w:t>WT</w:t>
      </w:r>
      <w:r w:rsidR="00000000">
        <w:t xml:space="preserve"> the annual water consumption (m</w:t>
      </w:r>
      <w:r w:rsidR="00000000">
        <w:rPr>
          <w:vertAlign w:val="superscript"/>
        </w:rPr>
        <w:t>3</w:t>
      </w:r>
      <w:r w:rsidR="00000000">
        <w:t xml:space="preserve">), each summed over the unit processes. The first constraint limits the probability of a defect: </w:t>
      </w:r>
      <w:proofErr w:type="spellStart"/>
      <w:r w:rsidR="00000000">
        <w:rPr>
          <w:i/>
        </w:rPr>
        <w:t>φ</w:t>
      </w:r>
      <w:r w:rsidR="00000000">
        <w:rPr>
          <w:vertAlign w:val="subscript"/>
        </w:rPr>
        <w:t>δ</w:t>
      </w:r>
      <w:proofErr w:type="spellEnd"/>
      <w:r w:rsidR="00000000">
        <w:t xml:space="preserve"> is the fraction of pieces of a simulated year whose coating is thinner than required by ISO 1461 for their gauge, and its expected value must not exceed 2%. The second limits the peak iron concentration </w:t>
      </w:r>
      <w:proofErr w:type="spellStart"/>
      <w:proofErr w:type="gramStart"/>
      <w:r w:rsidR="00000000">
        <w:rPr>
          <w:i/>
        </w:rPr>
        <w:t>c</w:t>
      </w:r>
      <w:r w:rsidR="00000000">
        <w:rPr>
          <w:vertAlign w:val="subscript"/>
        </w:rPr>
        <w:t>Fe,pick</w:t>
      </w:r>
      <w:proofErr w:type="spellEnd"/>
      <w:proofErr w:type="gramEnd"/>
      <w:r w:rsidR="00000000">
        <w:t xml:space="preserve"> reached in the normal pickling bath, whose renewal limit is 150 g/L. The iron limit of the flux bath (5 g/L) is not a constraint but the renewal trigger of the simulation, so its peak value is at or above 5 g/L every time the bath is renewed regardless of the operating conditions; the cost and the waste of renewing the bath are instead part of COM and </w:t>
      </w:r>
      <w:proofErr w:type="spellStart"/>
      <w:r w:rsidR="00000000">
        <w:rPr>
          <w:i/>
        </w:rPr>
        <w:t>V</w:t>
      </w:r>
      <w:r w:rsidR="00000000">
        <w:rPr>
          <w:vertAlign w:val="subscript"/>
        </w:rPr>
        <w:t>l</w:t>
      </w:r>
      <w:proofErr w:type="spellEnd"/>
      <w:r w:rsidR="00000000">
        <w:rPr>
          <w:vertAlign w:val="subscript"/>
        </w:rPr>
        <w:t>-poll</w:t>
      </w:r>
      <w:r w:rsidR="00000000">
        <w:t xml:space="preserve"> (Supporting Information SI-3).</w:t>
      </w:r>
    </w:p>
    <w:p w14:paraId="3041C93E" w14:textId="77777777" w:rsidR="005E603F" w:rsidRDefault="00000000">
      <w:pPr>
        <w:spacing w:line="480" w:lineRule="auto"/>
        <w:ind w:firstLine="720"/>
        <w:jc w:val="both"/>
      </w:pPr>
      <w:r>
        <w:t xml:space="preserve">Each expected value is estimated as the mean over </w:t>
      </w:r>
      <w:r>
        <w:rPr>
          <w:i/>
        </w:rPr>
        <w:t>N</w:t>
      </w:r>
      <w:r>
        <w:t xml:space="preserve"> = 100 simulated years. Sample </w:t>
      </w:r>
      <w:r>
        <w:rPr>
          <w:i/>
        </w:rPr>
        <w:t>s</w:t>
      </w:r>
      <w:r>
        <w:t xml:space="preserve"> of every candidate uses the </w:t>
      </w:r>
      <w:r>
        <w:rPr>
          <w:i/>
        </w:rPr>
        <w:t>s</w:t>
      </w:r>
      <w:r>
        <w:t>-</w:t>
      </w:r>
      <w:proofErr w:type="spellStart"/>
      <w:r>
        <w:t>th</w:t>
      </w:r>
      <w:proofErr w:type="spellEnd"/>
      <w:r>
        <w:t xml:space="preserve"> child seed derived from one base seed (common random numbers), so that candidates are compared under the same steel lots and ambient temperatures. Draws whose occurrence depends on the operating conditions, such as those made at bath renewals, use a separate random stream so that the lots and temperatures remain identical across candidates.</w:t>
      </w:r>
    </w:p>
    <w:p w14:paraId="66D22E9B" w14:textId="77777777" w:rsidR="005E603F" w:rsidRDefault="00000000" w:rsidP="00A65127">
      <w:pPr>
        <w:pStyle w:val="Heading2"/>
        <w:numPr>
          <w:ilvl w:val="1"/>
          <w:numId w:val="1"/>
        </w:numPr>
        <w:spacing w:before="0"/>
        <w:ind w:left="0" w:firstLine="0"/>
      </w:pPr>
      <w:bookmarkStart w:id="16" w:name="_RefSec2_5"/>
      <w:r>
        <w:rPr>
          <w:color w:val="000000"/>
        </w:rPr>
        <w:t>Search algorithm</w:t>
      </w:r>
      <w:bookmarkEnd w:id="16"/>
    </w:p>
    <w:p w14:paraId="2852DD68" w14:textId="0814979F" w:rsidR="005E603F" w:rsidRDefault="00000000">
      <w:pPr>
        <w:spacing w:line="480" w:lineRule="auto"/>
        <w:ind w:firstLine="720"/>
        <w:jc w:val="both"/>
      </w:pPr>
      <w:r>
        <w:t xml:space="preserve">The problem was solved with NSGA-II (Deb et al., 2002) with the settings of </w:t>
      </w:r>
      <w:r w:rsidR="00637DD6">
        <w:fldChar w:fldCharType="begin"/>
      </w:r>
      <w:r w:rsidR="00637DD6">
        <w:instrText xml:space="preserve"> REF _RefTable3 \h \* MERGEFORMAT </w:instrText>
      </w:r>
      <w:r w:rsidR="00637DD6">
        <w:fldChar w:fldCharType="separate"/>
      </w:r>
      <w:r w:rsidR="00227590" w:rsidRPr="00227590">
        <w:rPr>
          <w:color w:val="000000"/>
        </w:rPr>
        <w:t xml:space="preserve">Table </w:t>
      </w:r>
      <w:r w:rsidR="00227590" w:rsidRPr="00227590">
        <w:rPr>
          <w:noProof/>
          <w:color w:val="000000"/>
        </w:rPr>
        <w:t>3</w:t>
      </w:r>
      <w:r w:rsidR="00637DD6">
        <w:fldChar w:fldCharType="end"/>
      </w:r>
      <w:r>
        <w:t>. The initial population was drawn by Latin hypercube sampling (McKay et al., 1979). The search stops at 150 generations or, not before generation 100, when the hypervolume of the feasible non-dominated set (</w:t>
      </w:r>
      <w:proofErr w:type="spellStart"/>
      <w:r>
        <w:t>Zitzler</w:t>
      </w:r>
      <w:proofErr w:type="spellEnd"/>
      <w:r>
        <w:t xml:space="preserve"> &amp; Thiele, 1999) stops improving; because the hypervolume of a population truncated by crowding distance is not monotone, stagnation is declared when the best hypervolume of the last 15 generations does not exceed the best value before them by more than the tolerance.</w:t>
      </w:r>
    </w:p>
    <w:p w14:paraId="0E04A43E" w14:textId="474C6190" w:rsidR="005E603F" w:rsidRDefault="00000000">
      <w:pPr>
        <w:pStyle w:val="Caption"/>
      </w:pPr>
      <w:bookmarkStart w:id="17" w:name="_RefTable3"/>
      <w:r w:rsidRPr="003A047F">
        <w:rPr>
          <w:b/>
        </w:rPr>
        <w:t xml:space="preserve">Table </w:t>
      </w:r>
      <w:r w:rsidR="003A047F" w:rsidRPr="003A047F">
        <w:rPr>
          <w:b/>
        </w:rPr>
        <w:fldChar w:fldCharType="begin"/>
      </w:r>
      <w:r w:rsidR="003A047F" w:rsidRPr="003A047F">
        <w:rPr>
          <w:b/>
        </w:rPr>
        <w:instrText xml:space="preserve"> SEQ Table \* ARABIC </w:instrText>
      </w:r>
      <w:r w:rsidR="003A047F" w:rsidRPr="003A047F">
        <w:rPr>
          <w:b/>
        </w:rPr>
        <w:fldChar w:fldCharType="separate"/>
      </w:r>
      <w:r w:rsidR="00227590">
        <w:rPr>
          <w:b/>
          <w:noProof/>
        </w:rPr>
        <w:t>3</w:t>
      </w:r>
      <w:bookmarkEnd w:id="17"/>
      <w:r w:rsidR="003A047F" w:rsidRPr="003A047F">
        <w:rPr>
          <w:b/>
        </w:rPr>
        <w:fldChar w:fldCharType="end"/>
      </w:r>
      <w:r w:rsidRPr="003A047F">
        <w:rPr>
          <w:b/>
        </w:rPr>
        <w:t>.</w:t>
      </w:r>
      <w:r>
        <w:t xml:space="preserve"> Settings of the optimization.</w:t>
      </w:r>
    </w:p>
    <w:tbl>
      <w:tblPr>
        <w:tblW w:w="0" w:type="auto"/>
        <w:jc w:val="center"/>
        <w:tblLayout w:type="fixed"/>
        <w:tblLook w:val="04A0" w:firstRow="1" w:lastRow="0" w:firstColumn="1" w:lastColumn="0" w:noHBand="0" w:noVBand="1"/>
      </w:tblPr>
      <w:tblGrid>
        <w:gridCol w:w="3456"/>
        <w:gridCol w:w="5904"/>
      </w:tblGrid>
      <w:tr w:rsidR="005E603F" w14:paraId="6A78D78D" w14:textId="77777777">
        <w:trPr>
          <w:jc w:val="center"/>
        </w:trPr>
        <w:tc>
          <w:tcPr>
            <w:tcW w:w="3456"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631DA09C" w14:textId="77777777" w:rsidR="005E603F" w:rsidRDefault="00000000">
            <w:r>
              <w:rPr>
                <w:b/>
                <w:sz w:val="18"/>
              </w:rPr>
              <w:lastRenderedPageBreak/>
              <w:t>Parameter</w:t>
            </w:r>
          </w:p>
        </w:tc>
        <w:tc>
          <w:tcPr>
            <w:tcW w:w="5904"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02A76275" w14:textId="77777777" w:rsidR="005E603F" w:rsidRDefault="00000000">
            <w:r>
              <w:rPr>
                <w:b/>
                <w:sz w:val="18"/>
              </w:rPr>
              <w:t>Value</w:t>
            </w:r>
          </w:p>
        </w:tc>
      </w:tr>
      <w:tr w:rsidR="005E603F" w14:paraId="3C4B8E0F" w14:textId="77777777">
        <w:trPr>
          <w:jc w:val="center"/>
        </w:trPr>
        <w:tc>
          <w:tcPr>
            <w:tcW w:w="3456" w:type="dxa"/>
            <w:tcBorders>
              <w:top w:val="nil"/>
              <w:left w:val="nil"/>
              <w:bottom w:val="nil"/>
              <w:right w:val="nil"/>
            </w:tcBorders>
            <w:tcMar>
              <w:top w:w="60" w:type="dxa"/>
              <w:left w:w="80" w:type="dxa"/>
              <w:bottom w:w="60" w:type="dxa"/>
              <w:right w:w="80" w:type="dxa"/>
            </w:tcMar>
          </w:tcPr>
          <w:p w14:paraId="38F22D25" w14:textId="77777777" w:rsidR="005E603F" w:rsidRDefault="00000000">
            <w:r>
              <w:rPr>
                <w:sz w:val="18"/>
              </w:rPr>
              <w:t>Population size and offspring per generation</w:t>
            </w:r>
          </w:p>
        </w:tc>
        <w:tc>
          <w:tcPr>
            <w:tcW w:w="5904" w:type="dxa"/>
            <w:tcBorders>
              <w:top w:val="nil"/>
              <w:left w:val="nil"/>
              <w:bottom w:val="nil"/>
              <w:right w:val="nil"/>
            </w:tcBorders>
            <w:tcMar>
              <w:top w:w="60" w:type="dxa"/>
              <w:left w:w="80" w:type="dxa"/>
              <w:bottom w:w="60" w:type="dxa"/>
              <w:right w:w="80" w:type="dxa"/>
            </w:tcMar>
          </w:tcPr>
          <w:p w14:paraId="3DBAA4A8" w14:textId="77777777" w:rsidR="005E603F" w:rsidRDefault="00000000">
            <w:r>
              <w:rPr>
                <w:sz w:val="18"/>
              </w:rPr>
              <w:t>100</w:t>
            </w:r>
          </w:p>
        </w:tc>
      </w:tr>
      <w:tr w:rsidR="005E603F" w14:paraId="7A78E748" w14:textId="77777777">
        <w:trPr>
          <w:jc w:val="center"/>
        </w:trPr>
        <w:tc>
          <w:tcPr>
            <w:tcW w:w="3456" w:type="dxa"/>
            <w:tcBorders>
              <w:top w:val="nil"/>
              <w:left w:val="nil"/>
              <w:bottom w:val="nil"/>
              <w:right w:val="nil"/>
            </w:tcBorders>
            <w:tcMar>
              <w:top w:w="60" w:type="dxa"/>
              <w:left w:w="80" w:type="dxa"/>
              <w:bottom w:w="60" w:type="dxa"/>
              <w:right w:w="80" w:type="dxa"/>
            </w:tcMar>
          </w:tcPr>
          <w:p w14:paraId="3995A4CD" w14:textId="77777777" w:rsidR="005E603F" w:rsidRDefault="00000000">
            <w:r>
              <w:rPr>
                <w:sz w:val="18"/>
              </w:rPr>
              <w:t>Initial population</w:t>
            </w:r>
          </w:p>
        </w:tc>
        <w:tc>
          <w:tcPr>
            <w:tcW w:w="5904" w:type="dxa"/>
            <w:tcBorders>
              <w:top w:val="nil"/>
              <w:left w:val="nil"/>
              <w:bottom w:val="nil"/>
              <w:right w:val="nil"/>
            </w:tcBorders>
            <w:tcMar>
              <w:top w:w="60" w:type="dxa"/>
              <w:left w:w="80" w:type="dxa"/>
              <w:bottom w:w="60" w:type="dxa"/>
              <w:right w:w="80" w:type="dxa"/>
            </w:tcMar>
          </w:tcPr>
          <w:p w14:paraId="3CE00DA9" w14:textId="77777777" w:rsidR="005E603F" w:rsidRDefault="00000000">
            <w:r>
              <w:rPr>
                <w:sz w:val="18"/>
              </w:rPr>
              <w:t>Latin hypercube sampling</w:t>
            </w:r>
          </w:p>
        </w:tc>
      </w:tr>
      <w:tr w:rsidR="005E603F" w14:paraId="7008FD9C" w14:textId="77777777">
        <w:trPr>
          <w:jc w:val="center"/>
        </w:trPr>
        <w:tc>
          <w:tcPr>
            <w:tcW w:w="3456" w:type="dxa"/>
            <w:tcBorders>
              <w:top w:val="nil"/>
              <w:left w:val="nil"/>
              <w:bottom w:val="nil"/>
              <w:right w:val="nil"/>
            </w:tcBorders>
            <w:tcMar>
              <w:top w:w="60" w:type="dxa"/>
              <w:left w:w="80" w:type="dxa"/>
              <w:bottom w:w="60" w:type="dxa"/>
              <w:right w:w="80" w:type="dxa"/>
            </w:tcMar>
          </w:tcPr>
          <w:p w14:paraId="0B4D9BA9" w14:textId="77777777" w:rsidR="005E603F" w:rsidRDefault="00000000">
            <w:r>
              <w:rPr>
                <w:sz w:val="18"/>
              </w:rPr>
              <w:t>Crossover</w:t>
            </w:r>
          </w:p>
        </w:tc>
        <w:tc>
          <w:tcPr>
            <w:tcW w:w="5904" w:type="dxa"/>
            <w:tcBorders>
              <w:top w:val="nil"/>
              <w:left w:val="nil"/>
              <w:bottom w:val="nil"/>
              <w:right w:val="nil"/>
            </w:tcBorders>
            <w:tcMar>
              <w:top w:w="60" w:type="dxa"/>
              <w:left w:w="80" w:type="dxa"/>
              <w:bottom w:w="60" w:type="dxa"/>
              <w:right w:w="80" w:type="dxa"/>
            </w:tcMar>
          </w:tcPr>
          <w:p w14:paraId="3B596874" w14:textId="77777777" w:rsidR="005E603F" w:rsidRDefault="00000000">
            <w:r>
              <w:rPr>
                <w:sz w:val="18"/>
              </w:rPr>
              <w:t>Simulated binary crossover, probability 0.9, distribution index 15</w:t>
            </w:r>
          </w:p>
        </w:tc>
      </w:tr>
      <w:tr w:rsidR="005E603F" w14:paraId="0503A624" w14:textId="77777777">
        <w:trPr>
          <w:jc w:val="center"/>
        </w:trPr>
        <w:tc>
          <w:tcPr>
            <w:tcW w:w="3456" w:type="dxa"/>
            <w:tcBorders>
              <w:top w:val="nil"/>
              <w:left w:val="nil"/>
              <w:bottom w:val="nil"/>
              <w:right w:val="nil"/>
            </w:tcBorders>
            <w:tcMar>
              <w:top w:w="60" w:type="dxa"/>
              <w:left w:w="80" w:type="dxa"/>
              <w:bottom w:w="60" w:type="dxa"/>
              <w:right w:w="80" w:type="dxa"/>
            </w:tcMar>
          </w:tcPr>
          <w:p w14:paraId="23F630DA" w14:textId="77777777" w:rsidR="005E603F" w:rsidRDefault="00000000">
            <w:r>
              <w:rPr>
                <w:sz w:val="18"/>
              </w:rPr>
              <w:t>Mutation</w:t>
            </w:r>
          </w:p>
        </w:tc>
        <w:tc>
          <w:tcPr>
            <w:tcW w:w="5904" w:type="dxa"/>
            <w:tcBorders>
              <w:top w:val="nil"/>
              <w:left w:val="nil"/>
              <w:bottom w:val="nil"/>
              <w:right w:val="nil"/>
            </w:tcBorders>
            <w:tcMar>
              <w:top w:w="60" w:type="dxa"/>
              <w:left w:w="80" w:type="dxa"/>
              <w:bottom w:w="60" w:type="dxa"/>
              <w:right w:w="80" w:type="dxa"/>
            </w:tcMar>
          </w:tcPr>
          <w:p w14:paraId="36BCD351" w14:textId="77777777" w:rsidR="005E603F" w:rsidRDefault="00000000">
            <w:r>
              <w:rPr>
                <w:sz w:val="18"/>
              </w:rPr>
              <w:t>Polynomial mutation, probability 0.1 per variable, distribution index 20</w:t>
            </w:r>
          </w:p>
        </w:tc>
      </w:tr>
      <w:tr w:rsidR="005E603F" w14:paraId="2E146600" w14:textId="77777777">
        <w:trPr>
          <w:jc w:val="center"/>
        </w:trPr>
        <w:tc>
          <w:tcPr>
            <w:tcW w:w="3456" w:type="dxa"/>
            <w:tcBorders>
              <w:top w:val="nil"/>
              <w:left w:val="nil"/>
              <w:bottom w:val="nil"/>
              <w:right w:val="nil"/>
            </w:tcBorders>
            <w:tcMar>
              <w:top w:w="60" w:type="dxa"/>
              <w:left w:w="80" w:type="dxa"/>
              <w:bottom w:w="60" w:type="dxa"/>
              <w:right w:w="80" w:type="dxa"/>
            </w:tcMar>
          </w:tcPr>
          <w:p w14:paraId="78097324" w14:textId="77777777" w:rsidR="005E603F" w:rsidRDefault="00000000">
            <w:r>
              <w:rPr>
                <w:sz w:val="18"/>
              </w:rPr>
              <w:t>Constraint handling</w:t>
            </w:r>
          </w:p>
        </w:tc>
        <w:tc>
          <w:tcPr>
            <w:tcW w:w="5904" w:type="dxa"/>
            <w:tcBorders>
              <w:top w:val="nil"/>
              <w:left w:val="nil"/>
              <w:bottom w:val="nil"/>
              <w:right w:val="nil"/>
            </w:tcBorders>
            <w:tcMar>
              <w:top w:w="60" w:type="dxa"/>
              <w:left w:w="80" w:type="dxa"/>
              <w:bottom w:w="60" w:type="dxa"/>
              <w:right w:w="80" w:type="dxa"/>
            </w:tcMar>
          </w:tcPr>
          <w:p w14:paraId="1D931189" w14:textId="77777777" w:rsidR="005E603F" w:rsidRDefault="00000000">
            <w:r>
              <w:rPr>
                <w:sz w:val="18"/>
              </w:rPr>
              <w:t>Feasible designs dominate infeasible ones; infeasible designs are ranked by constraint violation</w:t>
            </w:r>
          </w:p>
        </w:tc>
      </w:tr>
      <w:tr w:rsidR="005E603F" w14:paraId="2B0016C0" w14:textId="77777777">
        <w:trPr>
          <w:jc w:val="center"/>
        </w:trPr>
        <w:tc>
          <w:tcPr>
            <w:tcW w:w="3456" w:type="dxa"/>
            <w:tcBorders>
              <w:top w:val="nil"/>
              <w:left w:val="nil"/>
              <w:bottom w:val="nil"/>
              <w:right w:val="nil"/>
            </w:tcBorders>
            <w:tcMar>
              <w:top w:w="60" w:type="dxa"/>
              <w:left w:w="80" w:type="dxa"/>
              <w:bottom w:w="60" w:type="dxa"/>
              <w:right w:w="80" w:type="dxa"/>
            </w:tcMar>
          </w:tcPr>
          <w:p w14:paraId="5F99CE70" w14:textId="77777777" w:rsidR="005E603F" w:rsidRDefault="00000000">
            <w:r>
              <w:rPr>
                <w:sz w:val="18"/>
              </w:rPr>
              <w:t>Generations</w:t>
            </w:r>
          </w:p>
        </w:tc>
        <w:tc>
          <w:tcPr>
            <w:tcW w:w="5904" w:type="dxa"/>
            <w:tcBorders>
              <w:top w:val="nil"/>
              <w:left w:val="nil"/>
              <w:bottom w:val="nil"/>
              <w:right w:val="nil"/>
            </w:tcBorders>
            <w:tcMar>
              <w:top w:w="60" w:type="dxa"/>
              <w:left w:w="80" w:type="dxa"/>
              <w:bottom w:w="60" w:type="dxa"/>
              <w:right w:w="80" w:type="dxa"/>
            </w:tcMar>
          </w:tcPr>
          <w:p w14:paraId="2A91809F" w14:textId="77777777" w:rsidR="005E603F" w:rsidRDefault="00000000">
            <w:r>
              <w:rPr>
                <w:sz w:val="18"/>
              </w:rPr>
              <w:t>At most 150; stagnation cannot stop the search before generation 100</w:t>
            </w:r>
          </w:p>
        </w:tc>
      </w:tr>
      <w:tr w:rsidR="005E603F" w14:paraId="30D0E1C4" w14:textId="77777777">
        <w:trPr>
          <w:jc w:val="center"/>
        </w:trPr>
        <w:tc>
          <w:tcPr>
            <w:tcW w:w="3456" w:type="dxa"/>
            <w:tcBorders>
              <w:top w:val="nil"/>
              <w:left w:val="nil"/>
              <w:bottom w:val="nil"/>
              <w:right w:val="nil"/>
            </w:tcBorders>
            <w:tcMar>
              <w:top w:w="60" w:type="dxa"/>
              <w:left w:w="80" w:type="dxa"/>
              <w:bottom w:w="60" w:type="dxa"/>
              <w:right w:w="80" w:type="dxa"/>
            </w:tcMar>
          </w:tcPr>
          <w:p w14:paraId="3D758610" w14:textId="77777777" w:rsidR="005E603F" w:rsidRDefault="00000000">
            <w:r>
              <w:rPr>
                <w:sz w:val="18"/>
              </w:rPr>
              <w:t>Stagnation criterion</w:t>
            </w:r>
          </w:p>
        </w:tc>
        <w:tc>
          <w:tcPr>
            <w:tcW w:w="5904" w:type="dxa"/>
            <w:tcBorders>
              <w:top w:val="nil"/>
              <w:left w:val="nil"/>
              <w:bottom w:val="nil"/>
              <w:right w:val="nil"/>
            </w:tcBorders>
            <w:tcMar>
              <w:top w:w="60" w:type="dxa"/>
              <w:left w:w="80" w:type="dxa"/>
              <w:bottom w:w="60" w:type="dxa"/>
              <w:right w:w="80" w:type="dxa"/>
            </w:tcMar>
          </w:tcPr>
          <w:p w14:paraId="60A4E422" w14:textId="77777777" w:rsidR="005E603F" w:rsidRDefault="00000000">
            <w:r>
              <w:rPr>
                <w:sz w:val="18"/>
              </w:rPr>
              <w:t>Best hypervolume of the last 15 generations improves by less than 10</w:t>
            </w:r>
            <w:r>
              <w:rPr>
                <w:sz w:val="18"/>
                <w:vertAlign w:val="superscript"/>
              </w:rPr>
              <w:t>−4</w:t>
            </w:r>
            <w:r>
              <w:rPr>
                <w:sz w:val="18"/>
              </w:rPr>
              <w:t xml:space="preserve"> (relative) over the best before them</w:t>
            </w:r>
          </w:p>
        </w:tc>
      </w:tr>
      <w:tr w:rsidR="005E603F" w14:paraId="492DAD2D" w14:textId="77777777">
        <w:trPr>
          <w:jc w:val="center"/>
        </w:trPr>
        <w:tc>
          <w:tcPr>
            <w:tcW w:w="3456" w:type="dxa"/>
            <w:tcBorders>
              <w:top w:val="nil"/>
              <w:left w:val="nil"/>
              <w:bottom w:val="nil"/>
              <w:right w:val="nil"/>
            </w:tcBorders>
            <w:tcMar>
              <w:top w:w="60" w:type="dxa"/>
              <w:left w:w="80" w:type="dxa"/>
              <w:bottom w:w="60" w:type="dxa"/>
              <w:right w:w="80" w:type="dxa"/>
            </w:tcMar>
          </w:tcPr>
          <w:p w14:paraId="5871E7E1" w14:textId="77777777" w:rsidR="005E603F" w:rsidRDefault="00000000">
            <w:r>
              <w:rPr>
                <w:sz w:val="18"/>
              </w:rPr>
              <w:t>Hypervolume</w:t>
            </w:r>
          </w:p>
        </w:tc>
        <w:tc>
          <w:tcPr>
            <w:tcW w:w="5904" w:type="dxa"/>
            <w:tcBorders>
              <w:top w:val="nil"/>
              <w:left w:val="nil"/>
              <w:bottom w:val="nil"/>
              <w:right w:val="nil"/>
            </w:tcBorders>
            <w:tcMar>
              <w:top w:w="60" w:type="dxa"/>
              <w:left w:w="80" w:type="dxa"/>
              <w:bottom w:w="60" w:type="dxa"/>
              <w:right w:w="80" w:type="dxa"/>
            </w:tcMar>
          </w:tcPr>
          <w:p w14:paraId="24D98E1D" w14:textId="77777777" w:rsidR="005E603F" w:rsidRDefault="00000000">
            <w:r>
              <w:rPr>
                <w:sz w:val="18"/>
              </w:rPr>
              <w:t>Objectives normalized with the ideal and nadir points of the first feasible generation; reference point at 1.1</w:t>
            </w:r>
          </w:p>
        </w:tc>
      </w:tr>
      <w:tr w:rsidR="005E603F" w14:paraId="02876BE0" w14:textId="77777777">
        <w:trPr>
          <w:jc w:val="center"/>
        </w:trPr>
        <w:tc>
          <w:tcPr>
            <w:tcW w:w="3456" w:type="dxa"/>
            <w:tcBorders>
              <w:top w:val="nil"/>
              <w:left w:val="nil"/>
              <w:bottom w:val="nil"/>
              <w:right w:val="nil"/>
            </w:tcBorders>
            <w:tcMar>
              <w:top w:w="60" w:type="dxa"/>
              <w:left w:w="80" w:type="dxa"/>
              <w:bottom w:w="60" w:type="dxa"/>
              <w:right w:w="80" w:type="dxa"/>
            </w:tcMar>
          </w:tcPr>
          <w:p w14:paraId="78596B7D" w14:textId="77777777" w:rsidR="005E603F" w:rsidRDefault="00000000">
            <w:r>
              <w:rPr>
                <w:sz w:val="18"/>
              </w:rPr>
              <w:t>Monte Carlo samples per candidate</w:t>
            </w:r>
          </w:p>
        </w:tc>
        <w:tc>
          <w:tcPr>
            <w:tcW w:w="5904" w:type="dxa"/>
            <w:tcBorders>
              <w:top w:val="nil"/>
              <w:left w:val="nil"/>
              <w:bottom w:val="nil"/>
              <w:right w:val="nil"/>
            </w:tcBorders>
            <w:tcMar>
              <w:top w:w="60" w:type="dxa"/>
              <w:left w:w="80" w:type="dxa"/>
              <w:bottom w:w="60" w:type="dxa"/>
              <w:right w:w="80" w:type="dxa"/>
            </w:tcMar>
          </w:tcPr>
          <w:p w14:paraId="197D99F1" w14:textId="77777777" w:rsidR="005E603F" w:rsidRDefault="00000000">
            <w:r>
              <w:rPr>
                <w:i/>
                <w:sz w:val="18"/>
              </w:rPr>
              <w:t>N</w:t>
            </w:r>
            <w:r>
              <w:rPr>
                <w:sz w:val="18"/>
              </w:rPr>
              <w:t xml:space="preserve"> = 100 simulated years</w:t>
            </w:r>
          </w:p>
        </w:tc>
      </w:tr>
      <w:tr w:rsidR="005E603F" w14:paraId="178D388F" w14:textId="77777777">
        <w:trPr>
          <w:jc w:val="center"/>
        </w:trPr>
        <w:tc>
          <w:tcPr>
            <w:tcW w:w="3456" w:type="dxa"/>
            <w:tcBorders>
              <w:top w:val="nil"/>
              <w:left w:val="nil"/>
              <w:bottom w:val="nil"/>
              <w:right w:val="nil"/>
            </w:tcBorders>
            <w:tcMar>
              <w:top w:w="60" w:type="dxa"/>
              <w:left w:w="80" w:type="dxa"/>
              <w:bottom w:w="60" w:type="dxa"/>
              <w:right w:w="80" w:type="dxa"/>
            </w:tcMar>
          </w:tcPr>
          <w:p w14:paraId="20422221" w14:textId="77777777" w:rsidR="005E603F" w:rsidRDefault="00000000">
            <w:r>
              <w:rPr>
                <w:sz w:val="18"/>
              </w:rPr>
              <w:t>Simulated year during the search</w:t>
            </w:r>
          </w:p>
        </w:tc>
        <w:tc>
          <w:tcPr>
            <w:tcW w:w="5904" w:type="dxa"/>
            <w:tcBorders>
              <w:top w:val="nil"/>
              <w:left w:val="nil"/>
              <w:bottom w:val="nil"/>
              <w:right w:val="nil"/>
            </w:tcBorders>
            <w:tcMar>
              <w:top w:w="60" w:type="dxa"/>
              <w:left w:w="80" w:type="dxa"/>
              <w:bottom w:w="60" w:type="dxa"/>
              <w:right w:w="80" w:type="dxa"/>
            </w:tcMar>
          </w:tcPr>
          <w:p w14:paraId="242416D9" w14:textId="77777777" w:rsidR="005E603F" w:rsidRDefault="00000000">
            <w:r>
              <w:rPr>
                <w:sz w:val="18"/>
              </w:rPr>
              <w:t>10</w:t>
            </w:r>
            <w:r>
              <w:rPr>
                <w:sz w:val="18"/>
                <w:vertAlign w:val="superscript"/>
              </w:rPr>
              <w:t>6</w:t>
            </w:r>
            <w:r>
              <w:rPr>
                <w:sz w:val="18"/>
              </w:rPr>
              <w:t xml:space="preserve"> pieces (full year: 41,379,264 pieces)</w:t>
            </w:r>
          </w:p>
        </w:tc>
      </w:tr>
      <w:tr w:rsidR="005E603F" w14:paraId="178D388F" w14:textId="77777777">
        <w:trPr>
          <w:jc w:val="center"/>
        </w:trPr>
        <w:tc>
          <w:tcPr>
            <w:tcW w:w="3456" w:type="dxa"/>
            <w:tcBorders>
              <w:top w:val="nil"/>
              <w:left w:val="nil"/>
              <w:bottom w:val="nil"/>
              <w:right w:val="nil"/>
            </w:tcBorders>
            <w:tcMar>
              <w:top w:w="60" w:type="dxa"/>
              <w:left w:w="80" w:type="dxa"/>
              <w:bottom w:w="60" w:type="dxa"/>
              <w:right w:w="80" w:type="dxa"/>
            </w:tcMar>
          </w:tcPr>
          <w:p w14:paraId="20422221" w14:textId="77777777" w:rsidR="005E603F" w:rsidRDefault="00000000">
            <w:r>
              <w:rPr>
                <w:sz w:val="18"/>
              </w:rPr>
              <w:t xml:space="preserve">Prices used in the search</w:t>
            </w:r>
          </w:p>
        </w:tc>
        <w:tc>
          <w:tcPr>
            <w:tcW w:w="5904" w:type="dxa"/>
            <w:tcBorders>
              <w:top w:val="nil"/>
              <w:left w:val="nil"/>
              <w:bottom w:val="nil"/>
              <w:right w:val="nil"/>
            </w:tcBorders>
            <w:tcMar>
              <w:top w:w="60" w:type="dxa"/>
              <w:left w:w="80" w:type="dxa"/>
              <w:bottom w:w="60" w:type="dxa"/>
              <w:right w:w="80" w:type="dxa"/>
            </w:tcMar>
          </w:tcPr>
          <w:p w14:paraId="242416D9" w14:textId="77777777" w:rsidR="005E603F" w:rsidRDefault="00000000">
            <w:r>
              <w:rPr>
                <w:sz w:val="18"/>
              </w:rPr>
              <w:t xml:space="preserve">Prices of the 2019 study, with the ammonium hydroxide unit corrected</w:t>
            </w:r>
          </w:p>
        </w:tc>
      </w:tr>
      <w:tr w:rsidR="005E603F" w14:paraId="786B6939" w14:textId="77777777">
        <w:trPr>
          <w:jc w:val="center"/>
        </w:trPr>
        <w:tc>
          <w:tcPr>
            <w:tcW w:w="3456" w:type="dxa"/>
            <w:tcBorders>
              <w:top w:val="nil"/>
              <w:left w:val="nil"/>
              <w:bottom w:val="nil"/>
              <w:right w:val="nil"/>
            </w:tcBorders>
            <w:tcMar>
              <w:top w:w="60" w:type="dxa"/>
              <w:left w:w="80" w:type="dxa"/>
              <w:bottom w:w="60" w:type="dxa"/>
              <w:right w:w="80" w:type="dxa"/>
            </w:tcMar>
          </w:tcPr>
          <w:p w14:paraId="1FBF827E" w14:textId="77777777" w:rsidR="005E603F" w:rsidRDefault="00000000">
            <w:r>
              <w:rPr>
                <w:sz w:val="18"/>
              </w:rPr>
              <w:t>Random seed</w:t>
            </w:r>
          </w:p>
        </w:tc>
        <w:tc>
          <w:tcPr>
            <w:tcW w:w="5904" w:type="dxa"/>
            <w:tcBorders>
              <w:top w:val="nil"/>
              <w:left w:val="nil"/>
              <w:bottom w:val="nil"/>
              <w:right w:val="nil"/>
            </w:tcBorders>
            <w:tcMar>
              <w:top w:w="60" w:type="dxa"/>
              <w:left w:w="80" w:type="dxa"/>
              <w:bottom w:w="60" w:type="dxa"/>
              <w:right w:w="80" w:type="dxa"/>
            </w:tcMar>
          </w:tcPr>
          <w:p w14:paraId="10FDECA0" w14:textId="77777777" w:rsidR="005E603F" w:rsidRDefault="00000000">
            <w:r>
              <w:rPr>
                <w:sz w:val="18"/>
              </w:rPr>
              <w:t>42</w:t>
            </w:r>
          </w:p>
        </w:tc>
      </w:tr>
      <w:tr w:rsidR="005E603F" w14:paraId="4C39EA77" w14:textId="77777777">
        <w:trPr>
          <w:jc w:val="center"/>
        </w:trPr>
        <w:tc>
          <w:tcPr>
            <w:tcW w:w="3456" w:type="dxa"/>
            <w:tcBorders>
              <w:top w:val="nil"/>
              <w:left w:val="nil"/>
              <w:bottom w:val="single" w:sz="8" w:space="0" w:color="000000"/>
              <w:right w:val="nil"/>
            </w:tcBorders>
            <w:tcMar>
              <w:top w:w="60" w:type="dxa"/>
              <w:left w:w="80" w:type="dxa"/>
              <w:bottom w:w="60" w:type="dxa"/>
              <w:right w:w="80" w:type="dxa"/>
            </w:tcMar>
          </w:tcPr>
          <w:p w14:paraId="4BB0AB43" w14:textId="77777777" w:rsidR="005E603F" w:rsidRDefault="00000000">
            <w:r>
              <w:rPr>
                <w:sz w:val="18"/>
              </w:rPr>
              <w:t>Checkpoints</w:t>
            </w:r>
          </w:p>
        </w:tc>
        <w:tc>
          <w:tcPr>
            <w:tcW w:w="5904" w:type="dxa"/>
            <w:tcBorders>
              <w:top w:val="nil"/>
              <w:left w:val="nil"/>
              <w:bottom w:val="single" w:sz="8" w:space="0" w:color="000000"/>
              <w:right w:val="nil"/>
            </w:tcBorders>
            <w:tcMar>
              <w:top w:w="60" w:type="dxa"/>
              <w:left w:w="80" w:type="dxa"/>
              <w:bottom w:w="60" w:type="dxa"/>
              <w:right w:w="80" w:type="dxa"/>
            </w:tcMar>
          </w:tcPr>
          <w:p w14:paraId="53A71769" w14:textId="77777777" w:rsidR="005E603F" w:rsidRDefault="00000000">
            <w:r>
              <w:rPr>
                <w:sz w:val="18"/>
              </w:rPr>
              <w:t>Every 5 generations</w:t>
            </w:r>
          </w:p>
        </w:tc>
      </w:tr>
    </w:tbl>
    <w:p w14:paraId="64E4B078" w14:textId="77777777" w:rsidR="005E603F" w:rsidRDefault="005E603F">
      <w:pPr>
        <w:spacing w:after="120"/>
      </w:pPr>
    </w:p>
    <w:p w14:paraId="3452D23F" w14:textId="1B12ACEB" w:rsidR="005E603F" w:rsidRDefault="00000000">
      <w:pPr>
        <w:spacing w:line="480" w:lineRule="auto"/>
        <w:ind w:firstLine="720"/>
        <w:jc w:val="both"/>
      </w:pPr>
      <w:r>
        <w:t>A full simulated year takes about 3.6 s on the workstation used, whereas a year of 10</w:t>
      </w:r>
      <w:r>
        <w:rPr>
          <w:vertAlign w:val="superscript"/>
        </w:rPr>
        <w:t>6</w:t>
      </w:r>
      <w:r>
        <w:t xml:space="preserve"> pieces takes about 0.09 s; the search therefore uses the shorter year. The fixed annual costs of the plant (capital charges and labor) do not scale with the number of pieces, so the objective values obtained during the search are not on the reporting basis and the Pareto set is re-evaluated at full-year scale (Section </w:t>
      </w:r>
      <w:r w:rsidR="00637DD6">
        <w:fldChar w:fldCharType="begin"/>
      </w:r>
      <w:r w:rsidR="00637DD6">
        <w:instrText xml:space="preserve"> REF _RefSec2_6 \r \t \h \* MERGEFORMAT </w:instrText>
      </w:r>
      <w:r w:rsidR="00637DD6">
        <w:fldChar w:fldCharType="separate"/>
      </w:r>
      <w:r w:rsidR="00227590" w:rsidRPr="00227590">
        <w:rPr>
          <w:color w:val="000000"/>
        </w:rPr>
        <w:t>2.6</w:t>
      </w:r>
      <w:r w:rsidR="00637DD6">
        <w:fldChar w:fldCharType="end"/>
      </w:r>
      <w:r>
        <w:t xml:space="preserve">). The candidates of a generation are evaluated in parallel. The code and the data needed to regenerate every figure and table are available at https://github.com/jodhernandezbe/hotdeep-galvanizing-op </w:t>
      </w:r>
      <w:r>
        <w:rPr>
          <w:highlight w:val="yellow"/>
        </w:rPr>
        <w:t>[confirm that the repository is public before submission]</w:t>
      </w:r>
      <w:r>
        <w:t xml:space="preserve"> (Supporting Information SI-1).</w:t>
      </w:r>
    </w:p>
    <w:p w14:paraId="68588EE1" w14:textId="77777777" w:rsidR="005E603F" w:rsidRDefault="00000000">
      <w:pPr>
        <w:jc w:val="center"/>
      </w:pPr>
      <w:r>
        <w:rPr>
          <w:noProof/>
        </w:rPr>
        <w:lastRenderedPageBreak/>
        <w:drawing>
          <wp:inline distT="0" distB="0" distL="0" distR="0">
            <wp:extent cx="4754880" cy="4693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ptimization_loop.png"/>
                    <pic:cNvPicPr/>
                  </pic:nvPicPr>
                  <pic:blipFill>
                    <a:blip r:embed="rId11"/>
                    <a:stretch>
                      <a:fillRect/>
                    </a:stretch>
                  </pic:blipFill>
                  <pic:spPr>
                    <a:xfrm>
                      <a:off x="0" y="0"/>
                      <a:ext cx="4754880" cy="4693920"/>
                    </a:xfrm>
                    <a:prstGeom prst="rect">
                      <a:avLst/>
                    </a:prstGeom>
                  </pic:spPr>
                </pic:pic>
              </a:graphicData>
            </a:graphic>
          </wp:inline>
        </w:drawing>
      </w:r>
    </w:p>
    <w:p w14:paraId="286E3F55" w14:textId="0D81444B" w:rsidR="005E603F" w:rsidRDefault="00000000">
      <w:pPr>
        <w:pStyle w:val="Caption"/>
      </w:pPr>
      <w:bookmarkStart w:id="18" w:name="_RefFigure3"/>
      <w:r w:rsidRPr="003A047F">
        <w:rPr>
          <w:b/>
        </w:rPr>
        <w:t xml:space="preserve">Figure </w:t>
      </w:r>
      <w:r w:rsidR="003A047F" w:rsidRPr="003A047F">
        <w:rPr>
          <w:b/>
        </w:rPr>
        <w:fldChar w:fldCharType="begin"/>
      </w:r>
      <w:r w:rsidR="003A047F" w:rsidRPr="003A047F">
        <w:rPr>
          <w:b/>
        </w:rPr>
        <w:instrText xml:space="preserve"> SEQ Figure \* ARABIC </w:instrText>
      </w:r>
      <w:r w:rsidR="003A047F" w:rsidRPr="003A047F">
        <w:rPr>
          <w:b/>
        </w:rPr>
        <w:fldChar w:fldCharType="separate"/>
      </w:r>
      <w:r w:rsidR="00227590">
        <w:rPr>
          <w:b/>
          <w:noProof/>
        </w:rPr>
        <w:t>3</w:t>
      </w:r>
      <w:bookmarkEnd w:id="18"/>
      <w:r w:rsidR="003A047F" w:rsidRPr="003A047F">
        <w:rPr>
          <w:b/>
        </w:rPr>
        <w:fldChar w:fldCharType="end"/>
      </w:r>
      <w:r w:rsidRPr="003A047F">
        <w:rPr>
          <w:b/>
        </w:rPr>
        <w:t>.</w:t>
      </w:r>
      <w:r>
        <w:t xml:space="preserve"> Evaluation of a candidate and search loop of the optimization. Each candidate is simulated for </w:t>
      </w:r>
      <w:r>
        <w:rPr>
          <w:i/>
        </w:rPr>
        <w:t>N</w:t>
      </w:r>
      <w:r>
        <w:t xml:space="preserve"> = 100 random years that use common random numbers; the means over the years give its objectives and constraints; NSGA-II ranks and recombines the candidates until the termination test stops the search, and the feasible non-dominated set is the result. LHS = Latin hypercube sampling; SBX = simulated binary crossover.</w:t>
      </w:r>
    </w:p>
    <w:p w14:paraId="28806171" w14:textId="77777777" w:rsidR="005E603F" w:rsidRDefault="00000000" w:rsidP="00A65127">
      <w:pPr>
        <w:pStyle w:val="Heading2"/>
        <w:numPr>
          <w:ilvl w:val="1"/>
          <w:numId w:val="1"/>
        </w:numPr>
        <w:spacing w:before="0"/>
        <w:ind w:left="0" w:firstLine="0"/>
      </w:pPr>
      <w:bookmarkStart w:id="19" w:name="_RefSec2_6"/>
      <w:r>
        <w:rPr>
          <w:color w:val="000000"/>
        </w:rPr>
        <w:t>Compromise selection and sensitivity analyses</w:t>
      </w:r>
      <w:bookmarkEnd w:id="19"/>
    </w:p>
    <w:p w14:paraId="6027036A" w14:textId="51255465" w:rsidR="005E603F" w:rsidRDefault="00000000">
      <w:pPr>
        <w:spacing w:line="480" w:lineRule="auto"/>
        <w:ind w:firstLine="720"/>
        <w:jc w:val="both"/>
      </w:pPr>
      <w:r>
        <w:t xml:space="preserve">The feasible non-dominated designs of the final population were re-evaluated with 41,379,264 pieces per year, </w:t>
      </w:r>
      <w:r>
        <w:rPr>
          <w:i/>
        </w:rPr>
        <w:t>N</w:t>
      </w:r>
      <w:r>
        <w:t xml:space="preserve"> = 100 years, and the same random numbers, and the designs that were no longer feasible at that scale were discarded. For each objective </w:t>
      </w:r>
      <w:r>
        <w:rPr>
          <w:i/>
        </w:rPr>
        <w:t>k</w:t>
      </w:r>
      <w:r>
        <w:t xml:space="preserve">, a linear fuzzy satisfaction membership between the nadir and the utopia values of the </w:t>
      </w:r>
      <w:r w:rsidR="0004609D">
        <w:t>remaining set is defined by Eq. (</w:t>
      </w:r>
      <w:r w:rsidR="0004609D">
        <w:fldChar w:fldCharType="begin"/>
      </w:r>
      <w:r w:rsidR="0004609D">
        <w:instrText xml:space="preserve"> REF _RefEq7 \h \* MERGEFORMAT </w:instrText>
      </w:r>
      <w:r w:rsidR="0004609D">
        <w:fldChar w:fldCharType="separate"/>
      </w:r>
      <w:r w:rsidR="00227590" w:rsidRPr="00227590">
        <w:rPr>
          <w:noProof/>
          <w:color w:val="000000"/>
        </w:rPr>
        <w:t>7</w:t>
      </w:r>
      <w:r w:rsidR="0004609D">
        <w:fldChar w:fldCharType="end"/>
      </w:r>
      <w:r w:rsidR="0004609D">
        <w:t>) (Zimmermann, 1978).</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36"/>
        <w:gridCol w:w="7488"/>
        <w:gridCol w:w="936"/>
      </w:tblGrid>
      <w:tr w:rsidR="004C3A34" w14:paraId="3DB997A1" w14:textId="77777777">
        <w:tblPrEx>
          <w:tblCellMar>
            <w:top w:w="0" w:type="dxa"/>
            <w:bottom w:w="0" w:type="dxa"/>
          </w:tblCellMar>
        </w:tblPrEx>
        <w:trPr>
          <w:cantSplit/>
          <w:jc w:val="center"/>
        </w:trPr>
        <w:tc>
          <w:tcPr>
            <w:tcW w:w="936" w:type="dxa"/>
            <w:vAlign w:val="center"/>
          </w:tcPr>
          <w:p w14:paraId="31A947E7" w14:textId="77777777" w:rsidR="004C3A34" w:rsidRDefault="004C3A34">
            <w:pPr>
              <w:spacing w:before="240" w:after="240"/>
            </w:pPr>
          </w:p>
        </w:tc>
        <w:tc>
          <w:tcPr>
            <w:tcW w:w="7488" w:type="dxa"/>
            <w:vAlign w:val="center"/>
          </w:tcPr>
          <w:p w14:paraId="463838DE" w14:textId="77777777" w:rsidR="004C3A34" w:rsidRDefault="004C3A34">
            <w:pPr>
              <w:spacing w:before="240" w:after="240"/>
              <w:jc w:val="center"/>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k</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k</m:t>
                        </m:r>
                      </m:sub>
                      <m:sup>
                        <m:r>
                          <m:rPr>
                            <m:sty m:val="p"/>
                          </m:rPr>
                          <w:rPr>
                            <w:rFonts w:ascii="Cambria Math" w:hAnsi="Cambria Math"/>
                          </w:rPr>
                          <m:t>nadir</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x</m:t>
                        </m:r>
                      </m:e>
                    </m:d>
                  </m:num>
                  <m:den>
                    <m:sSubSup>
                      <m:sSubSupPr>
                        <m:ctrlPr>
                          <w:rPr>
                            <w:rFonts w:ascii="Cambria Math" w:hAnsi="Cambria Math"/>
                          </w:rPr>
                        </m:ctrlPr>
                      </m:sSubSupPr>
                      <m:e>
                        <m:r>
                          <w:rPr>
                            <w:rFonts w:ascii="Cambria Math" w:hAnsi="Cambria Math"/>
                          </w:rPr>
                          <m:t>f</m:t>
                        </m:r>
                      </m:e>
                      <m:sub>
                        <m:r>
                          <w:rPr>
                            <w:rFonts w:ascii="Cambria Math" w:hAnsi="Cambria Math"/>
                          </w:rPr>
                          <m:t>k</m:t>
                        </m:r>
                      </m:sub>
                      <m:sup>
                        <m:r>
                          <m:rPr>
                            <m:sty m:val="p"/>
                          </m:rPr>
                          <w:rPr>
                            <w:rFonts w:ascii="Cambria Math" w:hAnsi="Cambria Math"/>
                          </w:rPr>
                          <m:t>nadir</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k</m:t>
                        </m:r>
                      </m:sub>
                      <m:sup>
                        <m:r>
                          <m:rPr>
                            <m:sty m:val="p"/>
                          </m:rPr>
                          <w:rPr>
                            <w:rFonts w:ascii="Cambria Math" w:hAnsi="Cambria Math"/>
                          </w:rPr>
                          <m:t>utopia</m:t>
                        </m:r>
                      </m:sup>
                    </m:sSubSup>
                  </m:den>
                </m:f>
              </m:oMath>
            </m:oMathPara>
          </w:p>
        </w:tc>
        <w:tc>
          <w:tcPr>
            <w:tcW w:w="936" w:type="dxa"/>
            <w:vAlign w:val="center"/>
          </w:tcPr>
          <w:p w14:paraId="75EA6F37" w14:textId="56A043E5" w:rsidR="004C3A34" w:rsidRDefault="004C3A34">
            <w:pPr>
              <w:spacing w:before="240" w:after="240"/>
              <w:jc w:val="right"/>
            </w:pPr>
            <w:r>
              <w:t>(</w:t>
            </w:r>
            <w:fldSimple w:instr=" SEQ Equation \* ARABIC ">
              <w:bookmarkStart w:id="20" w:name="_RefEq7"/>
              <w:r w:rsidR="00227590">
                <w:rPr>
                  <w:noProof/>
                </w:rPr>
                <w:t>7</w:t>
              </w:r>
              <w:bookmarkEnd w:id="20"/>
            </w:fldSimple>
            <w:r>
              <w:t>)</w:t>
            </w:r>
          </w:p>
        </w:tc>
      </w:tr>
    </w:tbl>
    <w:p w14:paraId="45D9DA7F" w14:textId="5F8DE08F" w:rsidR="005E603F" w:rsidRDefault="0004609D" w:rsidP="00432DDE">
      <w:pPr>
        <w:spacing w:line="480" w:lineRule="auto"/>
        <w:ind w:firstLine="720"/>
        <w:jc w:val="both"/>
      </w:pPr>
      <w:r>
        <w:t>The compromise design is the one with the highest weighted additive membership, given by Eq. (</w:t>
      </w:r>
      <w:r>
        <w:fldChar w:fldCharType="begin"/>
      </w:r>
      <w:r>
        <w:instrText xml:space="preserve"> REF _RefEq8 \h \* MERGEFORMAT </w:instrText>
      </w:r>
      <w:r>
        <w:fldChar w:fldCharType="separate"/>
      </w:r>
      <w:r w:rsidR="00227590" w:rsidRPr="00227590">
        <w:rPr>
          <w:noProof/>
          <w:color w:val="000000"/>
        </w:rPr>
        <w:t>8</w:t>
      </w:r>
      <w:r>
        <w:fldChar w:fldCharType="end"/>
      </w:r>
      <w:r>
        <w:t>).</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36"/>
        <w:gridCol w:w="7488"/>
        <w:gridCol w:w="936"/>
      </w:tblGrid>
      <w:tr w:rsidR="004C3A34" w14:paraId="47D2EE7F" w14:textId="77777777">
        <w:tblPrEx>
          <w:tblCellMar>
            <w:top w:w="0" w:type="dxa"/>
            <w:bottom w:w="0" w:type="dxa"/>
          </w:tblCellMar>
        </w:tblPrEx>
        <w:trPr>
          <w:cantSplit/>
          <w:jc w:val="center"/>
        </w:trPr>
        <w:tc>
          <w:tcPr>
            <w:tcW w:w="936" w:type="dxa"/>
            <w:vAlign w:val="center"/>
          </w:tcPr>
          <w:p w14:paraId="7BA9DFCF" w14:textId="77777777" w:rsidR="004C3A34" w:rsidRDefault="004C3A34">
            <w:pPr>
              <w:spacing w:before="240" w:after="240"/>
            </w:pPr>
          </w:p>
        </w:tc>
        <w:tc>
          <w:tcPr>
            <w:tcW w:w="7488" w:type="dxa"/>
            <w:vAlign w:val="center"/>
          </w:tcPr>
          <w:p w14:paraId="3EFBEFE6" w14:textId="77777777" w:rsidR="004C3A34" w:rsidRDefault="004C3A34">
            <w:pPr>
              <w:spacing w:before="240" w:after="240"/>
              <w:jc w:val="center"/>
            </w:pPr>
            <m:oMathPara>
              <m:oMathParaPr>
                <m:jc m:val="center"/>
              </m:oMathParaPr>
              <m:oMath>
                <m:sSub>
                  <m:sSubPr>
                    <m:ctrlPr>
                      <w:rPr>
                        <w:rFonts w:ascii="Cambria Math" w:hAnsi="Cambria Math"/>
                      </w:rPr>
                    </m:ctrlPr>
                  </m:sSubPr>
                  <m:e>
                    <m:r>
                      <w:rPr>
                        <w:rFonts w:ascii="Cambria Math" w:hAnsi="Cambria Math"/>
                      </w:rPr>
                      <m:t>μ</m:t>
                    </m:r>
                  </m:e>
                  <m:sub>
                    <m:r>
                      <m:rPr>
                        <m:sty m:val="p"/>
                      </m:rPr>
                      <w:rPr>
                        <w:rFonts w:ascii="Cambria Math" w:hAnsi="Cambria Math"/>
                      </w:rPr>
                      <m:t>overall</m:t>
                    </m:r>
                  </m:sub>
                </m:sSub>
                <m:d>
                  <m:dPr>
                    <m:ctrlPr>
                      <w:rPr>
                        <w:rFonts w:ascii="Cambria Math" w:hAnsi="Cambria Math"/>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μ</m:t>
                        </m:r>
                      </m:e>
                      <m:sub>
                        <m:r>
                          <w:rPr>
                            <w:rFonts w:ascii="Cambria Math" w:hAnsi="Cambria Math"/>
                          </w:rPr>
                          <m:t>k</m:t>
                        </m:r>
                      </m:sub>
                    </m:sSub>
                    <m:d>
                      <m:dPr>
                        <m:ctrlPr>
                          <w:rPr>
                            <w:rFonts w:ascii="Cambria Math" w:hAnsi="Cambria Math"/>
                          </w:rPr>
                        </m:ctrlPr>
                      </m:dPr>
                      <m:e>
                        <m:r>
                          <w:rPr>
                            <w:rFonts w:ascii="Cambria Math" w:hAnsi="Cambria Math"/>
                          </w:rPr>
                          <m:t>x</m:t>
                        </m:r>
                      </m:e>
                    </m:d>
                  </m:e>
                </m:nary>
              </m:oMath>
            </m:oMathPara>
          </w:p>
        </w:tc>
        <w:tc>
          <w:tcPr>
            <w:tcW w:w="936" w:type="dxa"/>
            <w:vAlign w:val="center"/>
          </w:tcPr>
          <w:p w14:paraId="622F3361" w14:textId="752A33D6" w:rsidR="004C3A34" w:rsidRDefault="004C3A34">
            <w:pPr>
              <w:spacing w:before="240" w:after="240"/>
              <w:jc w:val="right"/>
            </w:pPr>
            <w:r>
              <w:t>(</w:t>
            </w:r>
            <w:fldSimple w:instr=" SEQ Equation \* ARABIC ">
              <w:bookmarkStart w:id="21" w:name="_RefEq8"/>
              <w:r w:rsidR="00227590">
                <w:rPr>
                  <w:noProof/>
                </w:rPr>
                <w:t>8</w:t>
              </w:r>
              <w:bookmarkEnd w:id="21"/>
            </w:fldSimple>
            <w:r>
              <w:t>)</w:t>
            </w:r>
          </w:p>
        </w:tc>
      </w:tr>
    </w:tbl>
    <w:p w14:paraId="075316AA" w14:textId="77777777" w:rsidR="005E603F" w:rsidRDefault="00000000" w:rsidP="00432DDE">
      <w:pPr>
        <w:spacing w:line="480" w:lineRule="auto"/>
        <w:ind w:firstLine="720"/>
        <w:jc w:val="both"/>
      </w:pPr>
      <w:r>
        <w:t xml:space="preserve">The weights </w:t>
      </w:r>
      <w:proofErr w:type="spellStart"/>
      <w:r>
        <w:rPr>
          <w:i/>
        </w:rPr>
        <w:t>W</w:t>
      </w:r>
      <w:r>
        <w:rPr>
          <w:vertAlign w:val="subscript"/>
        </w:rPr>
        <w:t>k</w:t>
      </w:r>
      <w:proofErr w:type="spellEnd"/>
      <w:r>
        <w:t xml:space="preserve"> come from the FAHP category weights of the 2019 study: the weight of </w:t>
      </w:r>
      <w:r>
        <w:rPr>
          <w:i/>
        </w:rPr>
        <w:t>U</w:t>
      </w:r>
      <w:r>
        <w:rPr>
          <w:vertAlign w:val="subscript"/>
        </w:rPr>
        <w:t>P</w:t>
      </w:r>
      <w:r>
        <w:t xml:space="preserve"> is the sum of the efficiency, energy, and quality weights (0.607), the weight of COM is the economy weight (0.250), and the environment weight is split equally between </w:t>
      </w:r>
      <w:proofErr w:type="spellStart"/>
      <w:r>
        <w:rPr>
          <w:i/>
        </w:rPr>
        <w:t>V</w:t>
      </w:r>
      <w:r>
        <w:rPr>
          <w:vertAlign w:val="subscript"/>
        </w:rPr>
        <w:t>l</w:t>
      </w:r>
      <w:proofErr w:type="spellEnd"/>
      <w:r>
        <w:rPr>
          <w:vertAlign w:val="subscript"/>
        </w:rPr>
        <w:t>-poll</w:t>
      </w:r>
      <w:r>
        <w:t xml:space="preserve"> and </w:t>
      </w:r>
      <w:r>
        <w:rPr>
          <w:i/>
        </w:rPr>
        <w:t>V</w:t>
      </w:r>
      <w:r>
        <w:rPr>
          <w:vertAlign w:val="subscript"/>
        </w:rPr>
        <w:t>WT</w:t>
      </w:r>
      <w:r>
        <w:t xml:space="preserve"> (0.072 each). Because </w:t>
      </w:r>
      <w:r>
        <w:rPr>
          <w:i/>
        </w:rPr>
        <w:t>U</w:t>
      </w:r>
      <w:r>
        <w:rPr>
          <w:vertAlign w:val="subscript"/>
        </w:rPr>
        <w:t>P</w:t>
      </w:r>
      <w:r>
        <w:t xml:space="preserve"> already integrates indicators of all categories, this mapping gives additional weight to the cost, liquid waste, and water objectives, and the Pareto set does not depend on the weights, only the selected design does. The sensitivity of the selection was therefore examined with three alternatives: weights taken from the individual indicators of the 2019 table (0.708 for </w:t>
      </w:r>
      <w:r>
        <w:rPr>
          <w:i/>
        </w:rPr>
        <w:t>U</w:t>
      </w:r>
      <w:r>
        <w:rPr>
          <w:vertAlign w:val="subscript"/>
        </w:rPr>
        <w:t>P</w:t>
      </w:r>
      <w:r>
        <w:t xml:space="preserve">, 0.250 for COM, 0.018 for </w:t>
      </w:r>
      <w:proofErr w:type="spellStart"/>
      <w:r>
        <w:rPr>
          <w:i/>
        </w:rPr>
        <w:t>V</w:t>
      </w:r>
      <w:r>
        <w:rPr>
          <w:vertAlign w:val="subscript"/>
        </w:rPr>
        <w:t>l</w:t>
      </w:r>
      <w:proofErr w:type="spellEnd"/>
      <w:r>
        <w:rPr>
          <w:vertAlign w:val="subscript"/>
        </w:rPr>
        <w:t>-poll</w:t>
      </w:r>
      <w:r>
        <w:t xml:space="preserve">, and 0.024 for </w:t>
      </w:r>
      <w:r>
        <w:rPr>
          <w:i/>
        </w:rPr>
        <w:t>V</w:t>
      </w:r>
      <w:r>
        <w:rPr>
          <w:vertAlign w:val="subscript"/>
        </w:rPr>
        <w:t>WT</w:t>
      </w:r>
      <w:r>
        <w:t>), equal weights, and 10,000 weight vectors drawn uniformly from the simplex, for which the share of vectors that select each design and the spread of the selected designs are reported.</w:t>
      </w:r>
    </w:p>
    <w:p w14:paraId="1999392C" w14:textId="2ADB8059" w:rsidR="005E603F" w:rsidRDefault="00000000">
      <w:pPr>
        <w:spacing w:line="480" w:lineRule="auto"/>
        <w:ind w:firstLine="720"/>
        <w:jc w:val="both"/>
      </w:pPr>
      <w:r>
        <w:t xml:space="preserve">The cost of manufacture was calculated with raw-material prices of 2025 (</w:t>
      </w:r>
      <w:proofErr w:type="spellStart"/>
      <w:proofErr w:type="spellEnd"/>
      <w:proofErr w:type="spellStart"/>
      <w:proofErr w:type="spellEnd"/>
      <w:proofErr w:type="spellStart"/>
      <w:proofErr w:type="spellEnd"/>
      <w:proofErr w:type="spellStart"/>
      <w:proofErr w:type="spellEnd"/>
      <w:r w:rsidR="00637DD6">
        <w:fldChar w:fldCharType="begin"/>
      </w:r>
      <w:r w:rsidR="00637DD6">
        <w:instrText xml:space="preserve"> REF _RefTable4 \h \* MERGEFORMAT </w:instrText>
      </w:r>
      <w:r w:rsidR="00637DD6">
        <w:fldChar w:fldCharType="separate"/>
      </w:r>
      <w:r w:rsidR="00227590" w:rsidRPr="00227590">
        <w:rPr>
          <w:color w:val="000000"/>
        </w:rPr>
        <w:t xml:space="preserve">Table </w:t>
      </w:r>
      <w:r w:rsidR="00227590" w:rsidRPr="00227590">
        <w:rPr>
          <w:noProof/>
          <w:color w:val="000000"/>
        </w:rPr>
        <w:t>4</w:t>
      </w:r>
      <w:r w:rsidR="00637DD6">
        <w:fldChar w:fldCharType="end"/>
      </w:r>
      <w:r>
        <w:t xml:space="preserve">; Supporting Information SI-4), which are bulk or export market values, except for zinc, which is the annual average of the London Metal Exchange reported by the USGS (2026). Energy, water, labor, and fixed capital keep the values of the 2019 study (Hernandez-Betancur, 2018). The optimization itself was run with the prices of the 2019 study (2016 to 2018), in which the price of ammonium hydroxide was corrected because the original listing converted a price per litre into a price per tonne (Supporting Information SI-4); the Pareto set was therefore found under those prices and then re-evaluated at full-year scale with the prices of 2025. To test how much the prices matter, the Pareto set was also re-evaluated with the same random numbers under the prices of the 2019 study</w:t>
      </w:r>
      <w:r>
        <w:t xml:space="preserve">, and the compromise design, the cost saving with respect to the baseline, and the rank correlation (Spearman) of COM across the Pareto set were compared between the two sets of prices. The prices of the 2019 study are marketplace quotes for small lots, whereas the prices of 2025 are bulk or export market values, so the comparison mixes the passage of time with the purchasing scale and is interpreted as a sensitivity analysis, not as a forecast. Because prices do not enter </w:t>
      </w:r>
      <w:r>
        <w:rPr>
          <w:i/>
        </w:rPr>
        <w:t>U</w:t>
      </w:r>
      <w:r>
        <w:rPr>
          <w:vertAlign w:val="subscript"/>
        </w:rPr>
        <w:t>P</w:t>
      </w:r>
      <w:r>
        <w:t xml:space="preserve">, </w:t>
      </w:r>
      <w:proofErr w:type="spellStart"/>
      <w:r>
        <w:rPr>
          <w:i/>
        </w:rPr>
        <w:t>V</w:t>
      </w:r>
      <w:r>
        <w:rPr>
          <w:vertAlign w:val="subscript"/>
        </w:rPr>
        <w:t>l</w:t>
      </w:r>
      <w:proofErr w:type="spellEnd"/>
      <w:r>
        <w:rPr>
          <w:vertAlign w:val="subscript"/>
        </w:rPr>
        <w:t>-poll</w:t>
      </w:r>
      <w:r>
        <w:t xml:space="preserve">, or </w:t>
      </w:r>
      <w:r>
        <w:rPr>
          <w:i/>
        </w:rPr>
        <w:t>V</w:t>
      </w:r>
      <w:r>
        <w:rPr>
          <w:vertAlign w:val="subscript"/>
        </w:rPr>
        <w:t>WT</w:t>
      </w:r>
      <w:r>
        <w:t>, only the cost objective changes.</w:t>
      </w:r>
    </w:p>
    <w:p w14:paraId="2633166A" w14:textId="5D230BC1" w:rsidR="005E603F" w:rsidRDefault="00000000">
      <w:pPr>
        <w:pStyle w:val="Caption"/>
      </w:pPr>
      <w:bookmarkStart w:id="22" w:name="_RefTable4"/>
      <w:r w:rsidRPr="003A047F">
        <w:rPr>
          <w:b/>
        </w:rPr>
        <w:t xml:space="preserve">Table </w:t>
      </w:r>
      <w:r w:rsidR="003A047F" w:rsidRPr="003A047F">
        <w:rPr>
          <w:b/>
        </w:rPr>
        <w:fldChar w:fldCharType="begin"/>
      </w:r>
      <w:r w:rsidR="003A047F" w:rsidRPr="003A047F">
        <w:rPr>
          <w:b/>
        </w:rPr>
        <w:instrText xml:space="preserve"> SEQ Table \* ARABIC </w:instrText>
      </w:r>
      <w:r w:rsidR="003A047F" w:rsidRPr="003A047F">
        <w:rPr>
          <w:b/>
        </w:rPr>
        <w:fldChar w:fldCharType="separate"/>
      </w:r>
      <w:r w:rsidR="00227590">
        <w:rPr>
          <w:b/>
          <w:noProof/>
        </w:rPr>
        <w:t>4</w:t>
      </w:r>
      <w:bookmarkEnd w:id="22"/>
      <w:r w:rsidR="003A047F" w:rsidRPr="003A047F">
        <w:rPr>
          <w:b/>
        </w:rPr>
        <w:fldChar w:fldCharType="end"/>
      </w:r>
      <w:r w:rsidRPr="003A047F">
        <w:rPr>
          <w:b/>
        </w:rPr>
        <w:t>.</w:t>
      </w:r>
      <w:r>
        <w:t xml:space="preserve"> Raw-material prices of 2025 (USD per </w:t>
      </w:r>
      <w:proofErr w:type="spellStart"/>
      <w:r>
        <w:t>tonne</w:t>
      </w:r>
      <w:proofErr w:type="spellEnd"/>
      <w:r>
        <w:t xml:space="preserve"> of the commercial product). </w:t>
      </w:r>
      <w:r w:rsidR="0004609D" w:rsidRPr="00F64DD2">
        <w:t xml:space="preserve"/>
      </w:r>
      <w:r>
        <w:t xml:space="preserve"/>
      </w:r>
      <w:r w:rsidR="004870D4" w:rsidRPr="004870D4">
        <w:t xml:space="preserve"/>
      </w:r>
      <w:r>
        <w:t xml:space="preserve">Zinc: LME annual average reported by the USGS (2026). NaOH: Argus Media (2025) quotes per dry </w:t>
      </w:r>
      <w:proofErr w:type="spellStart"/>
      <w:r>
        <w:t>tonne</w:t>
      </w:r>
      <w:proofErr w:type="spellEnd"/>
      <w:r>
        <w:t xml:space="preserve"> converted to a 50 </w:t>
      </w:r>
      <w:proofErr w:type="spellStart"/>
      <w:r>
        <w:t>wt</w:t>
      </w:r>
      <w:proofErr w:type="spellEnd"/>
      <w:r>
        <w:t xml:space="preserve">% solution (× 0.5). ZnCl</w:t>
      </w:r>
      <w:r>
        <w:rPr>
          <w:vertAlign w:val="subscript"/>
        </w:rPr>
        <w:t>2</w:t>
      </w:r>
      <w:r>
        <w:t>, NH</w:t>
      </w:r>
      <w:r>
        <w:rPr>
          <w:vertAlign w:val="subscript"/>
        </w:rPr>
        <w:t>4</w:t>
      </w:r>
      <w:r>
        <w:t xml:space="preserve">Cl, and HCl: IMARC Group (2025, 2026a, 2026b). NH</w:t>
      </w:r>
      <w:r>
        <w:rPr>
          <w:vertAlign w:val="subscript"/>
        </w:rPr>
        <w:t>4</w:t>
      </w:r>
      <w:r>
        <w:t xml:space="preserve">OH: </w:t>
      </w:r>
      <w:proofErr w:type="spellStart"/>
      <w:r>
        <w:t>Intratec</w:t>
      </w:r>
      <w:proofErr w:type="spellEnd"/>
      <w:r>
        <w:t xml:space="preserve"> (2026). The IMARC and </w:t>
      </w:r>
      <w:proofErr w:type="spellStart"/>
      <w:r>
        <w:t>Intratec</w:t>
      </w:r>
      <w:proofErr w:type="spellEnd"/>
      <w:r>
        <w:t xml:space="preserve"> pages do not state the concentration or grade, so the HCl and NH</w:t>
      </w:r>
      <w:r>
        <w:rPr>
          <w:vertAlign w:val="subscript"/>
        </w:rPr>
        <w:t>4</w:t>
      </w:r>
      <w:r>
        <w:t xml:space="preserve">OH values may differ from the cost per </w:t>
      </w:r>
      <w:proofErr w:type="spellStart"/>
      <w:r>
        <w:t>tonne</w:t>
      </w:r>
      <w:proofErr w:type="spellEnd"/>
      <w:r>
        <w:t xml:space="preserve"> of the 37 </w:t>
      </w:r>
      <w:proofErr w:type="spellStart"/>
      <w:r>
        <w:t>wt</w:t>
      </w:r>
      <w:proofErr w:type="spellEnd"/>
      <w:r>
        <w:t xml:space="preserve">% and 30 </w:t>
      </w:r>
      <w:proofErr w:type="spellStart"/>
      <w:r>
        <w:t>wt</w:t>
      </w:r>
      <w:proofErr w:type="spellEnd"/>
      <w:r>
        <w:t xml:space="preserve">% solutions of the </w:t>
      </w:r>
      <w:r w:rsidR="004870D4" w:rsidRPr="004870D4">
        <w:t>2019 study</w:t>
      </w:r>
      <w:r>
        <w:t xml:space="preserve">. The prices of the 2019 study, used in the sensitivity analysis, are given in Supporting Information SI-4. Energy, water, labor, and fixed capital keep the values of the 2019 study.</w:t>
      </w:r>
    </w:p>
    <w:tbl>
      <w:tblPr>
        <w:tblW w:w="0" w:type="auto"/>
        <w:jc w:val="center"/>
        <w:tblLayout w:type="fixed"/>
        <w:tblLook w:val="04A0" w:firstRow="1" w:lastRow="0" w:firstColumn="1" w:lastColumn="0" w:noHBand="0" w:noVBand="1"/>
      </w:tblPr>
      <w:tblGrid>
        <w:gridCol w:w="5616"/>
        <w:gridCol w:w="3744"/>
      </w:tblGrid>
      <w:tr w:rsidR="005E603F" w14:paraId="52289DD5" w14:textId="77777777">
        <w:trPr>
          <w:jc w:val="center"/>
        </w:trPr>
        <w:tc>
          <w:tcPr>
            <w:tcW w:w="5616"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10EFBAA6" w14:textId="77777777" w:rsidR="005E603F" w:rsidRDefault="00000000">
            <w:r>
              <w:rPr>
                <w:b/>
                <w:sz w:val="18"/>
              </w:rPr>
              <w:t>Raw material</w:t>
            </w:r>
          </w:p>
        </w:tc>
        <w:tc>
          <w:tcPr>
            <w:tcW w:w="3744" w:type="dxa"/>
            <w:tcBorders>
              <w:top w:val="single" w:sz="8" w:space="0" w:color="000000"/>
              <w:left w:val="nil"/>
              <w:bottom w:val="single" w:sz="8" w:space="0" w:color="000000"/>
              <w:right w:val="nil"/>
            </w:tcBorders>
            <w:shd w:val="clear" w:color="auto" w:fill="E8E8E8"/>
            <w:tcMar>
              <w:top w:w="60" w:type="dxa"/>
              <w:left w:w="80" w:type="dxa"/>
              <w:bottom w:w="60" w:type="dxa"/>
              <w:right w:w="80" w:type="dxa"/>
            </w:tcMar>
          </w:tcPr>
          <w:p w14:paraId="44FDA826" w14:textId="77777777" w:rsidR="005E603F" w:rsidRDefault="00000000">
            <w:pPr>
              <w:jc w:val="center"/>
            </w:pPr>
            <w:r>
              <w:rPr>
                <w:b/>
                <w:sz w:val="18"/>
              </w:rPr>
              <w:t xml:space="preserve">Price, 2025 (USD/t)</w:t>
            </w:r>
          </w:p>
        </w:tc>
      </w:tr>
      <w:tr w:rsidR="005E603F" w14:paraId="5D19C5EC" w14:textId="77777777">
        <w:trPr>
          <w:jc w:val="center"/>
        </w:trPr>
        <w:tc>
          <w:tcPr>
            <w:tcW w:w="5616" w:type="dxa"/>
            <w:tcBorders>
              <w:top w:val="nil"/>
              <w:left w:val="nil"/>
              <w:bottom w:val="nil"/>
              <w:right w:val="nil"/>
            </w:tcBorders>
            <w:tcMar>
              <w:top w:w="60" w:type="dxa"/>
              <w:left w:w="80" w:type="dxa"/>
              <w:bottom w:w="60" w:type="dxa"/>
              <w:right w:w="80" w:type="dxa"/>
            </w:tcMar>
          </w:tcPr>
          <w:p w14:paraId="7B3BE106" w14:textId="77777777" w:rsidR="005E603F" w:rsidRDefault="00000000">
            <w:r>
              <w:rPr>
                <w:sz w:val="18"/>
              </w:rPr>
              <w:t xml:space="preserve">Zinc, 99.9 </w:t>
            </w:r>
            <w:proofErr w:type="spellStart"/>
            <w:r>
              <w:rPr>
                <w:sz w:val="18"/>
              </w:rPr>
              <w:t>wt</w:t>
            </w:r>
            <w:proofErr w:type="spellEnd"/>
            <w:r>
              <w:rPr>
                <w:sz w:val="18"/>
              </w:rPr>
              <w:t>%</w:t>
            </w:r>
          </w:p>
        </w:tc>
        <w:tc>
          <w:tcPr>
            <w:tcW w:w="3744" w:type="dxa"/>
            <w:tcBorders>
              <w:top w:val="nil"/>
              <w:left w:val="nil"/>
              <w:bottom w:val="nil"/>
              <w:right w:val="nil"/>
            </w:tcBorders>
            <w:tcMar>
              <w:top w:w="60" w:type="dxa"/>
              <w:left w:w="80" w:type="dxa"/>
              <w:bottom w:w="60" w:type="dxa"/>
              <w:right w:w="80" w:type="dxa"/>
            </w:tcMar>
          </w:tcPr>
          <w:p w14:paraId="4B718575" w14:textId="77777777" w:rsidR="005E603F" w:rsidRDefault="00000000">
            <w:pPr>
              <w:jc w:val="center"/>
            </w:pPr>
            <w:r>
              <w:rPr>
                <w:sz w:val="18"/>
              </w:rPr>
              <w:t>2,866</w:t>
            </w:r>
          </w:p>
        </w:tc>
      </w:tr>
      <w:tr w:rsidR="005E603F" w14:paraId="4EBC6E45" w14:textId="77777777">
        <w:trPr>
          <w:jc w:val="center"/>
        </w:trPr>
        <w:tc>
          <w:tcPr>
            <w:tcW w:w="5616" w:type="dxa"/>
            <w:tcBorders>
              <w:top w:val="nil"/>
              <w:left w:val="nil"/>
              <w:bottom w:val="nil"/>
              <w:right w:val="nil"/>
            </w:tcBorders>
            <w:tcMar>
              <w:top w:w="60" w:type="dxa"/>
              <w:left w:w="80" w:type="dxa"/>
              <w:bottom w:w="60" w:type="dxa"/>
              <w:right w:w="80" w:type="dxa"/>
            </w:tcMar>
          </w:tcPr>
          <w:p w14:paraId="40CAE891" w14:textId="77777777" w:rsidR="005E603F" w:rsidRDefault="00000000">
            <w:r>
              <w:rPr>
                <w:sz w:val="18"/>
              </w:rPr>
              <w:t>ZnCl</w:t>
            </w:r>
            <w:r>
              <w:rPr>
                <w:sz w:val="18"/>
                <w:vertAlign w:val="subscript"/>
              </w:rPr>
              <w:t>2</w:t>
            </w:r>
          </w:p>
        </w:tc>
        <w:tc>
          <w:tcPr>
            <w:tcW w:w="3744" w:type="dxa"/>
            <w:tcBorders>
              <w:top w:val="nil"/>
              <w:left w:val="nil"/>
              <w:bottom w:val="nil"/>
              <w:right w:val="nil"/>
            </w:tcBorders>
            <w:tcMar>
              <w:top w:w="60" w:type="dxa"/>
              <w:left w:w="80" w:type="dxa"/>
              <w:bottom w:w="60" w:type="dxa"/>
              <w:right w:w="80" w:type="dxa"/>
            </w:tcMar>
          </w:tcPr>
          <w:p w14:paraId="3C48C50E" w14:textId="77777777" w:rsidR="005E603F" w:rsidRDefault="00000000">
            <w:pPr>
              <w:jc w:val="center"/>
            </w:pPr>
            <w:r>
              <w:rPr>
                <w:sz w:val="18"/>
              </w:rPr>
              <w:t>1,296</w:t>
            </w:r>
          </w:p>
        </w:tc>
      </w:tr>
      <w:tr w:rsidR="005E603F" w14:paraId="4F689B74" w14:textId="77777777">
        <w:trPr>
          <w:jc w:val="center"/>
        </w:trPr>
        <w:tc>
          <w:tcPr>
            <w:tcW w:w="5616" w:type="dxa"/>
            <w:tcBorders>
              <w:top w:val="nil"/>
              <w:left w:val="nil"/>
              <w:bottom w:val="nil"/>
              <w:right w:val="nil"/>
            </w:tcBorders>
            <w:tcMar>
              <w:top w:w="60" w:type="dxa"/>
              <w:left w:w="80" w:type="dxa"/>
              <w:bottom w:w="60" w:type="dxa"/>
              <w:right w:w="80" w:type="dxa"/>
            </w:tcMar>
          </w:tcPr>
          <w:p w14:paraId="2DDF3225" w14:textId="77777777" w:rsidR="005E603F" w:rsidRDefault="00000000">
            <w:r>
              <w:rPr>
                <w:sz w:val="18"/>
              </w:rPr>
              <w:t>NH</w:t>
            </w:r>
            <w:r>
              <w:rPr>
                <w:sz w:val="18"/>
                <w:vertAlign w:val="subscript"/>
              </w:rPr>
              <w:t>4</w:t>
            </w:r>
            <w:r>
              <w:rPr>
                <w:sz w:val="18"/>
              </w:rPr>
              <w:t>Cl</w:t>
            </w:r>
          </w:p>
        </w:tc>
        <w:tc>
          <w:tcPr>
            <w:tcW w:w="3744" w:type="dxa"/>
            <w:tcBorders>
              <w:top w:val="nil"/>
              <w:left w:val="nil"/>
              <w:bottom w:val="nil"/>
              <w:right w:val="nil"/>
            </w:tcBorders>
            <w:tcMar>
              <w:top w:w="60" w:type="dxa"/>
              <w:left w:w="80" w:type="dxa"/>
              <w:bottom w:w="60" w:type="dxa"/>
              <w:right w:w="80" w:type="dxa"/>
            </w:tcMar>
          </w:tcPr>
          <w:p w14:paraId="71DD3C8B" w14:textId="77777777" w:rsidR="005E603F" w:rsidRDefault="00000000">
            <w:pPr>
              <w:jc w:val="center"/>
            </w:pPr>
            <w:r>
              <w:rPr>
                <w:sz w:val="18"/>
              </w:rPr>
              <w:t>260</w:t>
            </w:r>
          </w:p>
        </w:tc>
      </w:tr>
      <w:tr w:rsidR="005E603F" w14:paraId="1E90BAA4" w14:textId="77777777">
        <w:trPr>
          <w:jc w:val="center"/>
        </w:trPr>
        <w:tc>
          <w:tcPr>
            <w:tcW w:w="5616" w:type="dxa"/>
            <w:tcBorders>
              <w:top w:val="nil"/>
              <w:left w:val="nil"/>
              <w:bottom w:val="nil"/>
              <w:right w:val="nil"/>
            </w:tcBorders>
            <w:tcMar>
              <w:top w:w="60" w:type="dxa"/>
              <w:left w:w="80" w:type="dxa"/>
              <w:bottom w:w="60" w:type="dxa"/>
              <w:right w:w="80" w:type="dxa"/>
            </w:tcMar>
          </w:tcPr>
          <w:p w14:paraId="7B208DD3" w14:textId="77777777" w:rsidR="005E603F" w:rsidRDefault="00000000">
            <w:r>
              <w:rPr>
                <w:sz w:val="18"/>
              </w:rPr>
              <w:t xml:space="preserve">HCl, 37 </w:t>
            </w:r>
            <w:proofErr w:type="spellStart"/>
            <w:r>
              <w:rPr>
                <w:sz w:val="18"/>
              </w:rPr>
              <w:t>wt</w:t>
            </w:r>
            <w:proofErr w:type="spellEnd"/>
            <w:r>
              <w:rPr>
                <w:sz w:val="18"/>
              </w:rPr>
              <w:t>%</w:t>
            </w:r>
          </w:p>
        </w:tc>
        <w:tc>
          <w:tcPr>
            <w:tcW w:w="3744" w:type="dxa"/>
            <w:tcBorders>
              <w:top w:val="nil"/>
              <w:left w:val="nil"/>
              <w:bottom w:val="nil"/>
              <w:right w:val="nil"/>
            </w:tcBorders>
            <w:tcMar>
              <w:top w:w="60" w:type="dxa"/>
              <w:left w:w="80" w:type="dxa"/>
              <w:bottom w:w="60" w:type="dxa"/>
              <w:right w:w="80" w:type="dxa"/>
            </w:tcMar>
          </w:tcPr>
          <w:p w14:paraId="7898F234" w14:textId="77777777" w:rsidR="005E603F" w:rsidRDefault="00000000">
            <w:pPr>
              <w:jc w:val="center"/>
            </w:pPr>
            <w:r>
              <w:rPr>
                <w:sz w:val="18"/>
              </w:rPr>
              <w:t>244</w:t>
            </w:r>
          </w:p>
        </w:tc>
      </w:tr>
      <w:tr w:rsidR="005E603F" w14:paraId="10D16AAC" w14:textId="77777777">
        <w:trPr>
          <w:jc w:val="center"/>
        </w:trPr>
        <w:tc>
          <w:tcPr>
            <w:tcW w:w="5616" w:type="dxa"/>
            <w:tcBorders>
              <w:top w:val="nil"/>
              <w:left w:val="nil"/>
              <w:bottom w:val="nil"/>
              <w:right w:val="nil"/>
            </w:tcBorders>
            <w:tcMar>
              <w:top w:w="60" w:type="dxa"/>
              <w:left w:w="80" w:type="dxa"/>
              <w:bottom w:w="60" w:type="dxa"/>
              <w:right w:w="80" w:type="dxa"/>
            </w:tcMar>
          </w:tcPr>
          <w:p w14:paraId="3154E1E6" w14:textId="77777777" w:rsidR="005E603F" w:rsidRDefault="00000000">
            <w:r>
              <w:rPr>
                <w:sz w:val="18"/>
              </w:rPr>
              <w:t xml:space="preserve">NaOH, 50 </w:t>
            </w:r>
            <w:proofErr w:type="spellStart"/>
            <w:r>
              <w:rPr>
                <w:sz w:val="18"/>
              </w:rPr>
              <w:t>wt</w:t>
            </w:r>
            <w:proofErr w:type="spellEnd"/>
            <w:r>
              <w:rPr>
                <w:sz w:val="18"/>
              </w:rPr>
              <w:t>%</w:t>
            </w:r>
          </w:p>
        </w:tc>
        <w:tc>
          <w:tcPr>
            <w:tcW w:w="3744" w:type="dxa"/>
            <w:tcBorders>
              <w:top w:val="nil"/>
              <w:left w:val="nil"/>
              <w:bottom w:val="nil"/>
              <w:right w:val="nil"/>
            </w:tcBorders>
            <w:tcMar>
              <w:top w:w="60" w:type="dxa"/>
              <w:left w:w="80" w:type="dxa"/>
              <w:bottom w:w="60" w:type="dxa"/>
              <w:right w:w="80" w:type="dxa"/>
            </w:tcMar>
          </w:tcPr>
          <w:p w14:paraId="2A1F60CD" w14:textId="77777777" w:rsidR="005E603F" w:rsidRDefault="00000000">
            <w:pPr>
              <w:jc w:val="center"/>
            </w:pPr>
            <w:r>
              <w:rPr>
                <w:sz w:val="18"/>
              </w:rPr>
              <w:t>185</w:t>
            </w:r>
          </w:p>
        </w:tc>
      </w:tr>
      <w:tr w:rsidR="005E603F" w14:paraId="68D6E0AF" w14:textId="77777777">
        <w:trPr>
          <w:jc w:val="center"/>
        </w:trPr>
        <w:tc>
          <w:tcPr>
            <w:tcW w:w="5616" w:type="dxa"/>
            <w:tcBorders>
              <w:top w:val="nil"/>
              <w:left w:val="nil"/>
              <w:bottom w:val="single" w:sz="8" w:space="0" w:color="000000"/>
              <w:right w:val="nil"/>
            </w:tcBorders>
            <w:tcMar>
              <w:top w:w="60" w:type="dxa"/>
              <w:left w:w="80" w:type="dxa"/>
              <w:bottom w:w="60" w:type="dxa"/>
              <w:right w:w="80" w:type="dxa"/>
            </w:tcMar>
          </w:tcPr>
          <w:p w14:paraId="4CF605ED" w14:textId="77777777" w:rsidR="005E603F" w:rsidRDefault="00000000">
            <w:r>
              <w:rPr>
                <w:sz w:val="18"/>
              </w:rPr>
              <w:t>NH</w:t>
            </w:r>
            <w:r>
              <w:rPr>
                <w:sz w:val="18"/>
                <w:vertAlign w:val="subscript"/>
              </w:rPr>
              <w:t>4</w:t>
            </w:r>
            <w:r>
              <w:rPr>
                <w:sz w:val="18"/>
              </w:rPr>
              <w:t xml:space="preserve">OH, 30 </w:t>
            </w:r>
            <w:proofErr w:type="spellStart"/>
            <w:r>
              <w:rPr>
                <w:sz w:val="18"/>
              </w:rPr>
              <w:t>wt</w:t>
            </w:r>
            <w:proofErr w:type="spellEnd"/>
            <w:r>
              <w:rPr>
                <w:sz w:val="18"/>
              </w:rPr>
              <w:t>%</w:t>
            </w:r>
          </w:p>
        </w:tc>
        <w:tc>
          <w:tcPr>
            <w:tcW w:w="3744" w:type="dxa"/>
            <w:tcBorders>
              <w:top w:val="nil"/>
              <w:left w:val="nil"/>
              <w:bottom w:val="single" w:sz="8" w:space="0" w:color="000000"/>
              <w:right w:val="nil"/>
            </w:tcBorders>
            <w:tcMar>
              <w:top w:w="60" w:type="dxa"/>
              <w:left w:w="80" w:type="dxa"/>
              <w:bottom w:w="60" w:type="dxa"/>
              <w:right w:w="80" w:type="dxa"/>
            </w:tcMar>
          </w:tcPr>
          <w:p w14:paraId="6E3B025F" w14:textId="77777777" w:rsidR="005E603F" w:rsidRDefault="00000000">
            <w:pPr>
              <w:jc w:val="center"/>
            </w:pPr>
            <w:r>
              <w:rPr>
                <w:sz w:val="18"/>
              </w:rPr>
              <w:t>173</w:t>
            </w:r>
          </w:p>
        </w:tc>
      </w:tr>
    </w:tbl>
    <w:p w14:paraId="16768240" w14:textId="77777777" w:rsidR="005E603F" w:rsidRDefault="005E603F">
      <w:pPr>
        <w:spacing w:after="120"/>
      </w:pPr>
    </w:p>
    <w:p w14:paraId="5B6FA192" w14:textId="77777777" w:rsidR="005E603F" w:rsidRDefault="00000000" w:rsidP="00A65127">
      <w:pPr>
        <w:pStyle w:val="Heading2"/>
        <w:numPr>
          <w:ilvl w:val="1"/>
          <w:numId w:val="1"/>
        </w:numPr>
        <w:spacing w:before="0"/>
        <w:ind w:left="0" w:firstLine="0"/>
      </w:pPr>
      <w:bookmarkStart w:id="23" w:name="_RefSec2_7"/>
      <w:r>
        <w:rPr>
          <w:color w:val="000000"/>
        </w:rPr>
        <w:t>Comparison of the baseline and the selected design</w:t>
      </w:r>
      <w:bookmarkEnd w:id="23"/>
    </w:p>
    <w:p w14:paraId="64965373" w14:textId="77777777" w:rsidR="005E603F" w:rsidRDefault="00000000">
      <w:pPr>
        <w:spacing w:line="480" w:lineRule="auto"/>
        <w:ind w:firstLine="720"/>
        <w:jc w:val="both"/>
      </w:pPr>
      <w:r>
        <w:t xml:space="preserve">The compromise design and the baseline design were each evaluated with 1,000 simulated years of 41,379,264 pieces under the same random numbers and with the prices of 2025. For both designs, the means, standard deviations, and 95% confidence intervals of the mean (Student </w:t>
      </w:r>
      <w:r>
        <w:rPr>
          <w:i/>
        </w:rPr>
        <w:t>t</w:t>
      </w:r>
      <w:r>
        <w:t xml:space="preserve">) of </w:t>
      </w:r>
      <w:r>
        <w:rPr>
          <w:i/>
        </w:rPr>
        <w:t>U</w:t>
      </w:r>
      <w:r>
        <w:rPr>
          <w:vertAlign w:val="subscript"/>
        </w:rPr>
        <w:t>P</w:t>
      </w:r>
      <w:r>
        <w:t xml:space="preserve"> (as a percentage of </w:t>
      </w:r>
      <w:proofErr w:type="spellStart"/>
      <w:r>
        <w:rPr>
          <w:i/>
        </w:rPr>
        <w:t>U</w:t>
      </w:r>
      <w:r>
        <w:rPr>
          <w:vertAlign w:val="subscript"/>
        </w:rPr>
        <w:t>max</w:t>
      </w:r>
      <w:proofErr w:type="spellEnd"/>
      <w:r>
        <w:t xml:space="preserve">), COM, </w:t>
      </w:r>
      <w:proofErr w:type="spellStart"/>
      <w:r>
        <w:rPr>
          <w:i/>
        </w:rPr>
        <w:t>V</w:t>
      </w:r>
      <w:r>
        <w:rPr>
          <w:vertAlign w:val="subscript"/>
        </w:rPr>
        <w:t>l</w:t>
      </w:r>
      <w:proofErr w:type="spellEnd"/>
      <w:r>
        <w:rPr>
          <w:vertAlign w:val="subscript"/>
        </w:rPr>
        <w:t>-poll</w:t>
      </w:r>
      <w:r>
        <w:t xml:space="preserve">, </w:t>
      </w:r>
      <w:r>
        <w:rPr>
          <w:i/>
        </w:rPr>
        <w:t>V</w:t>
      </w:r>
      <w:r>
        <w:rPr>
          <w:vertAlign w:val="subscript"/>
        </w:rPr>
        <w:t>WT</w:t>
      </w:r>
      <w:r>
        <w:t xml:space="preserve">, the coating thickness, and the defect fraction </w:t>
      </w:r>
      <w:proofErr w:type="spellStart"/>
      <w:r>
        <w:rPr>
          <w:i/>
        </w:rPr>
        <w:t>φ</w:t>
      </w:r>
      <w:r>
        <w:rPr>
          <w:vertAlign w:val="subscript"/>
        </w:rPr>
        <w:t>δ</w:t>
      </w:r>
      <w:proofErr w:type="spellEnd"/>
      <w:r>
        <w:t xml:space="preserve"> are reported, together with </w:t>
      </w:r>
      <w:proofErr w:type="spellStart"/>
      <w:r>
        <w:rPr>
          <w:i/>
        </w:rPr>
        <w:t>P</w:t>
      </w:r>
      <w:r>
        <w:rPr>
          <w:vertAlign w:val="subscript"/>
        </w:rPr>
        <w:t>sustainable</w:t>
      </w:r>
      <w:proofErr w:type="spellEnd"/>
      <w:r>
        <w:t xml:space="preserve">. The scores of the 17 indicators and of the quality indicator, the distributions of the indicators of the critical stages (pickling and fluxing), and the density of </w:t>
      </w:r>
      <w:r>
        <w:rPr>
          <w:i/>
        </w:rPr>
        <w:t>U</w:t>
      </w:r>
      <w:r>
        <w:rPr>
          <w:vertAlign w:val="subscript"/>
        </w:rPr>
        <w:t>P</w:t>
      </w:r>
      <w:r>
        <w:t xml:space="preserve"> relative to the sustainability threshold are used to explain where the selected design differs from the baseline.</w:t>
      </w:r>
    </w:p>
    <w:p w14:paraId="760C54D1" w14:textId="77777777" w:rsidR="005E603F" w:rsidRDefault="00000000" w:rsidP="00A65127">
      <w:pPr>
        <w:pStyle w:val="Heading1"/>
        <w:numPr>
          <w:ilvl w:val="0"/>
          <w:numId w:val="1"/>
        </w:numPr>
        <w:spacing w:before="0"/>
        <w:ind w:left="0" w:firstLine="0"/>
      </w:pPr>
      <w:bookmarkStart w:id="24" w:name="_RefSec3"/>
      <w:r>
        <w:rPr>
          <w:color w:val="000000"/>
        </w:rPr>
        <w:lastRenderedPageBreak/>
        <w:t>Results and discussion</w:t>
      </w:r>
      <w:bookmarkEnd w:id="24"/>
    </w:p>
    <w:p w14:paraId="521EC14C" w14:textId="77777777" w:rsidR="005E603F" w:rsidRDefault="00000000" w:rsidP="00432DDE">
      <w:pPr>
        <w:spacing w:line="480" w:lineRule="auto"/>
        <w:ind w:firstLine="720"/>
        <w:jc w:val="both"/>
      </w:pPr>
      <w:r>
        <w:rPr>
          <w:highlight w:val="yellow"/>
        </w:rPr>
        <w:t>[To be written when the optimization has finished. Planned subsections: validation of the re-implemented model against the 2019 study; the Pareto set and its trade-offs (Figure 4); the compromise design and its sensitivity to weights and prices; baseline versus optimized design (indicator profile, critical-stage distributions, and probability of sustainability; Figures 5 to 7 and Table 5); limitations.]</w:t>
      </w:r>
    </w:p>
    <w:p w14:paraId="00EA65B1" w14:textId="77777777" w:rsidR="005E603F" w:rsidRDefault="00000000" w:rsidP="00A65127">
      <w:pPr>
        <w:pStyle w:val="Heading1"/>
        <w:numPr>
          <w:ilvl w:val="0"/>
          <w:numId w:val="1"/>
        </w:numPr>
        <w:spacing w:before="0"/>
        <w:ind w:left="0" w:firstLine="0"/>
      </w:pPr>
      <w:bookmarkStart w:id="25" w:name="_RefSec4"/>
      <w:r>
        <w:rPr>
          <w:color w:val="000000"/>
        </w:rPr>
        <w:t>Conclusions</w:t>
      </w:r>
      <w:bookmarkEnd w:id="25"/>
    </w:p>
    <w:p w14:paraId="3B4BEC0D" w14:textId="77777777" w:rsidR="005E603F" w:rsidRDefault="00000000" w:rsidP="00432DDE">
      <w:pPr>
        <w:spacing w:line="480" w:lineRule="auto"/>
        <w:ind w:firstLine="720"/>
        <w:jc w:val="both"/>
      </w:pPr>
      <w:r>
        <w:rPr>
          <w:highlight w:val="yellow"/>
        </w:rPr>
        <w:t>[To be written after the results.]</w:t>
      </w:r>
    </w:p>
    <w:p w14:paraId="6AAB83C4" w14:textId="77777777" w:rsidR="005E603F" w:rsidRDefault="00000000">
      <w:pPr>
        <w:pStyle w:val="Heading1"/>
        <w:spacing w:before="0"/>
      </w:pPr>
      <w:r>
        <w:rPr>
          <w:color w:val="000000"/>
        </w:rPr>
        <w:t>References</w:t>
      </w:r>
    </w:p>
    <w:p w14:paraId="50EAE1B9" w14:textId="77777777" w:rsidR="005E603F" w:rsidRDefault="00000000">
      <w:pPr>
        <w:spacing w:line="480" w:lineRule="auto"/>
        <w:ind w:left="720" w:hanging="720"/>
        <w:jc w:val="both"/>
      </w:pPr>
      <w:proofErr w:type="spellStart"/>
      <w:r>
        <w:t>Akamphon</w:t>
      </w:r>
      <w:proofErr w:type="spellEnd"/>
      <w:r>
        <w:t xml:space="preserve">, S., </w:t>
      </w:r>
      <w:proofErr w:type="spellStart"/>
      <w:r>
        <w:t>Sukkasi</w:t>
      </w:r>
      <w:proofErr w:type="spellEnd"/>
      <w:r>
        <w:t xml:space="preserve">, S., &amp; </w:t>
      </w:r>
      <w:proofErr w:type="spellStart"/>
      <w:r>
        <w:t>Boonyongmaneerat</w:t>
      </w:r>
      <w:proofErr w:type="spellEnd"/>
      <w:r>
        <w:t xml:space="preserve">, Y. (2012). Reduction of zinc consumption with enhanced corrosion protection in hot-dip galvanized coatings: A process-based cost analysis. </w:t>
      </w:r>
      <w:r>
        <w:rPr>
          <w:i/>
        </w:rPr>
        <w:t>Resources, Conservation and Recycling</w:t>
      </w:r>
      <w:r>
        <w:t xml:space="preserve">, </w:t>
      </w:r>
      <w:r>
        <w:rPr>
          <w:i/>
        </w:rPr>
        <w:t>58</w:t>
      </w:r>
      <w:r>
        <w:t>, 1–7. https://doi.org/10.1016/j.resconrec.2011.10.001</w:t>
      </w:r>
    </w:p>
    <w:p w14:paraId="5DE26925" w14:textId="77777777" w:rsidR="005E603F" w:rsidRPr="006569A1" w:rsidRDefault="00000000">
      <w:pPr>
        <w:spacing w:line="480" w:lineRule="auto"/>
        <w:ind w:left="720" w:hanging="720"/>
        <w:jc w:val="both"/>
        <w:rPr>
          <w:lang w:val="es-419"/>
        </w:rPr>
      </w:pPr>
      <w:proofErr w:type="spellStart"/>
      <w:r>
        <w:t>Arguillarena</w:t>
      </w:r>
      <w:proofErr w:type="spellEnd"/>
      <w:r>
        <w:t xml:space="preserve">, A., Margallo, M., Arruti-Fernández, A., Pinedo, J., Gómez, P., Ortiz, I., &amp; Urtiaga, A. (2023). Circular economy in hot-dip galvanizing with zinc and iron recovery from spent pickling acids. </w:t>
      </w:r>
      <w:r w:rsidRPr="006569A1">
        <w:rPr>
          <w:i/>
          <w:lang w:val="es-419"/>
        </w:rPr>
        <w:t>RSC Advances</w:t>
      </w:r>
      <w:r w:rsidRPr="006569A1">
        <w:rPr>
          <w:lang w:val="es-419"/>
        </w:rPr>
        <w:t xml:space="preserve">, </w:t>
      </w:r>
      <w:r w:rsidRPr="006569A1">
        <w:rPr>
          <w:i/>
          <w:lang w:val="es-419"/>
        </w:rPr>
        <w:t>13</w:t>
      </w:r>
      <w:r w:rsidRPr="006569A1">
        <w:rPr>
          <w:lang w:val="es-419"/>
        </w:rPr>
        <w:t>(10), 6481–6489. https://doi.org/10.1039/d2ra08195d</w:t>
      </w:r>
    </w:p>
    <w:p w14:paraId="51E8A2B5" w14:textId="77777777" w:rsidR="005E603F" w:rsidRDefault="00000000">
      <w:pPr>
        <w:spacing w:line="480" w:lineRule="auto"/>
        <w:ind w:left="720" w:hanging="720"/>
        <w:jc w:val="both"/>
      </w:pPr>
      <w:r w:rsidRPr="006569A1">
        <w:rPr>
          <w:lang w:val="es-419"/>
        </w:rPr>
        <w:t xml:space="preserve">Arguillarena, A., Margallo, M., Irabien, Á., &amp; Urtiaga, A. (2022). </w:t>
      </w:r>
      <w:r>
        <w:t xml:space="preserve">Life cycle assessment of zinc and iron recovery from spent pickling acids by membrane-based solvent extraction and electrowinning. </w:t>
      </w:r>
      <w:r>
        <w:rPr>
          <w:i/>
        </w:rPr>
        <w:t>Journal of Environmental Management</w:t>
      </w:r>
      <w:r>
        <w:t xml:space="preserve">, </w:t>
      </w:r>
      <w:r>
        <w:rPr>
          <w:i/>
        </w:rPr>
        <w:t>318</w:t>
      </w:r>
      <w:r>
        <w:t>, 115567. https://doi.org/10.1016/j.jenvman.2022.115567</w:t>
      </w:r>
    </w:p>
    <w:p w14:paraId="64B6D3AA" w14:textId="77777777" w:rsidR="005E603F" w:rsidRPr="006569A1" w:rsidRDefault="00000000">
      <w:pPr>
        <w:spacing w:line="480" w:lineRule="auto"/>
        <w:ind w:left="720" w:hanging="720"/>
        <w:jc w:val="both"/>
        <w:rPr>
          <w:lang w:val="es-419"/>
        </w:rPr>
      </w:pPr>
      <w:r>
        <w:t xml:space="preserve">Argus Media. (2025). </w:t>
      </w:r>
      <w:r>
        <w:rPr>
          <w:i/>
        </w:rPr>
        <w:t>Argus chlor-alkali and derivatives</w:t>
      </w:r>
      <w:r>
        <w:t xml:space="preserve"> (Issue 25-46, 14 November 2025). </w:t>
      </w:r>
      <w:r w:rsidRPr="006569A1">
        <w:rPr>
          <w:lang w:val="es-419"/>
        </w:rPr>
        <w:t>Argus Media group. https://view.argusmedia.com/rs/584-BUW-606/images/FER-20251114chlor-alkali.pdf</w:t>
      </w:r>
    </w:p>
    <w:p w14:paraId="54E31FC3" w14:textId="77777777" w:rsidR="005E603F" w:rsidRDefault="00000000">
      <w:pPr>
        <w:spacing w:line="480" w:lineRule="auto"/>
        <w:ind w:left="720" w:hanging="720"/>
        <w:jc w:val="both"/>
      </w:pPr>
      <w:r>
        <w:lastRenderedPageBreak/>
        <w:t xml:space="preserve">Chang, D.-Y. (1996). Applications of the extent analysis method on fuzzy AHP. </w:t>
      </w:r>
      <w:r>
        <w:rPr>
          <w:i/>
        </w:rPr>
        <w:t>European Journal of Operational Research</w:t>
      </w:r>
      <w:r>
        <w:t xml:space="preserve">, </w:t>
      </w:r>
      <w:r>
        <w:rPr>
          <w:i/>
        </w:rPr>
        <w:t>95</w:t>
      </w:r>
      <w:r>
        <w:t>(3), 649–655. https://doi.org/10.1016/0377-2217(95)00300-2</w:t>
      </w:r>
    </w:p>
    <w:p w14:paraId="2846511C" w14:textId="77777777" w:rsidR="005E603F" w:rsidRDefault="00000000">
      <w:pPr>
        <w:spacing w:line="480" w:lineRule="auto"/>
        <w:ind w:left="720" w:hanging="720"/>
        <w:jc w:val="both"/>
      </w:pPr>
      <w:r>
        <w:t xml:space="preserve">Costa, P., Altamirano, G., Salinas, A., González-González, D. S., &amp; Goodwin, F. (2019). Optimization of the continuous galvanizing heat treatment process in ultra-high strength dual phase steels using a multivariate model. </w:t>
      </w:r>
      <w:r>
        <w:rPr>
          <w:i/>
        </w:rPr>
        <w:t>Metals</w:t>
      </w:r>
      <w:r>
        <w:t xml:space="preserve">, </w:t>
      </w:r>
      <w:r>
        <w:rPr>
          <w:i/>
        </w:rPr>
        <w:t>9</w:t>
      </w:r>
      <w:r>
        <w:t>(6), 703. https://doi.org/10.3390/met9060703</w:t>
      </w:r>
    </w:p>
    <w:p w14:paraId="2CA26DC6" w14:textId="77777777" w:rsidR="005E603F" w:rsidRDefault="00000000">
      <w:pPr>
        <w:spacing w:line="480" w:lineRule="auto"/>
        <w:ind w:left="720" w:hanging="720"/>
        <w:jc w:val="both"/>
      </w:pPr>
      <w:proofErr w:type="spellStart"/>
      <w:r>
        <w:t>Crișan</w:t>
      </w:r>
      <w:proofErr w:type="spellEnd"/>
      <w:r>
        <w:t xml:space="preserve">, C. A., Timiș, E. C., &amp; </w:t>
      </w:r>
      <w:proofErr w:type="spellStart"/>
      <w:r>
        <w:t>Vermeșan</w:t>
      </w:r>
      <w:proofErr w:type="spellEnd"/>
      <w:r>
        <w:t xml:space="preserve">, H. (2023). </w:t>
      </w:r>
      <w:proofErr w:type="spellStart"/>
      <w:r>
        <w:t>PickT</w:t>
      </w:r>
      <w:proofErr w:type="spellEnd"/>
      <w:r>
        <w:t xml:space="preserve">: A decision-making tool for the optimal pickling process operation. </w:t>
      </w:r>
      <w:r>
        <w:rPr>
          <w:i/>
        </w:rPr>
        <w:t>Materials</w:t>
      </w:r>
      <w:r>
        <w:t xml:space="preserve">, </w:t>
      </w:r>
      <w:r>
        <w:rPr>
          <w:i/>
        </w:rPr>
        <w:t>16</w:t>
      </w:r>
      <w:r>
        <w:t>(16), 5567. https://doi.org/10.3390/ma16165567</w:t>
      </w:r>
    </w:p>
    <w:p w14:paraId="6E5A0D28" w14:textId="77777777" w:rsidR="005E603F" w:rsidRDefault="00000000">
      <w:pPr>
        <w:spacing w:line="480" w:lineRule="auto"/>
        <w:ind w:left="720" w:hanging="720"/>
        <w:jc w:val="both"/>
      </w:pPr>
      <w:r>
        <w:t xml:space="preserve">Deb, K., Pratap, A., Agarwal, S., &amp; </w:t>
      </w:r>
      <w:proofErr w:type="spellStart"/>
      <w:r>
        <w:t>Meyarivan</w:t>
      </w:r>
      <w:proofErr w:type="spellEnd"/>
      <w:r>
        <w:t xml:space="preserve">, T. (2002). A fast and elitist </w:t>
      </w:r>
      <w:proofErr w:type="spellStart"/>
      <w:r>
        <w:t>multiobjective</w:t>
      </w:r>
      <w:proofErr w:type="spellEnd"/>
      <w:r>
        <w:t xml:space="preserve"> genetic algorithm: NSGA-II. </w:t>
      </w:r>
      <w:r>
        <w:rPr>
          <w:i/>
        </w:rPr>
        <w:t>IEEE Transactions on Evolutionary Computation</w:t>
      </w:r>
      <w:r>
        <w:t xml:space="preserve">, </w:t>
      </w:r>
      <w:r>
        <w:rPr>
          <w:i/>
        </w:rPr>
        <w:t>6</w:t>
      </w:r>
      <w:r>
        <w:t>(2), 182–197. https://doi.org/10.1109/4235.996017</w:t>
      </w:r>
    </w:p>
    <w:p w14:paraId="0FB7BBA2" w14:textId="77777777" w:rsidR="005E603F" w:rsidRDefault="00000000">
      <w:pPr>
        <w:spacing w:line="480" w:lineRule="auto"/>
        <w:ind w:left="720" w:hanging="720"/>
        <w:jc w:val="both"/>
      </w:pPr>
      <w:r>
        <w:t xml:space="preserve">Fresner, J., Schnitzer, H., </w:t>
      </w:r>
      <w:proofErr w:type="spellStart"/>
      <w:r>
        <w:t>Gwehenberger</w:t>
      </w:r>
      <w:proofErr w:type="spellEnd"/>
      <w:r>
        <w:t xml:space="preserve">, G., </w:t>
      </w:r>
      <w:proofErr w:type="spellStart"/>
      <w:r>
        <w:t>Planasch</w:t>
      </w:r>
      <w:proofErr w:type="spellEnd"/>
      <w:r>
        <w:t xml:space="preserve">, M., Brunner, C., Taferner, K., &amp; Mair, J. (2007). Practical experiences with the implementation of the concept of zero emissions in the surface treatment industry in Austria. </w:t>
      </w:r>
      <w:r>
        <w:rPr>
          <w:i/>
        </w:rPr>
        <w:t>Journal of Cleaner Production</w:t>
      </w:r>
      <w:r>
        <w:t xml:space="preserve">, </w:t>
      </w:r>
      <w:r>
        <w:rPr>
          <w:i/>
        </w:rPr>
        <w:t>15</w:t>
      </w:r>
      <w:r>
        <w:t>(13–14), 1228–1239. https://doi.org/10.1016/j.jclepro.2006.07.024</w:t>
      </w:r>
    </w:p>
    <w:p w14:paraId="16A5F252" w14:textId="77777777" w:rsidR="005E603F" w:rsidRDefault="00000000">
      <w:pPr>
        <w:spacing w:line="480" w:lineRule="auto"/>
        <w:ind w:left="720" w:hanging="720"/>
        <w:jc w:val="both"/>
      </w:pPr>
      <w:r>
        <w:t xml:space="preserve">Hegyi, A., </w:t>
      </w:r>
      <w:proofErr w:type="spellStart"/>
      <w:r>
        <w:t>Păstrav</w:t>
      </w:r>
      <w:proofErr w:type="spellEnd"/>
      <w:r>
        <w:t xml:space="preserve">, M., &amp; Rus, M. (2015). Environmental and economic aspects of anticorrosion protection by hot-dip galvanized method rebars in concrete. </w:t>
      </w:r>
      <w:r>
        <w:rPr>
          <w:i/>
        </w:rPr>
        <w:t>Journal of Applied Engineering Sciences</w:t>
      </w:r>
      <w:r>
        <w:t xml:space="preserve">, </w:t>
      </w:r>
      <w:r>
        <w:rPr>
          <w:i/>
        </w:rPr>
        <w:t>5</w:t>
      </w:r>
      <w:r>
        <w:t>(1), 23–30. https://doi.org/10.1515/jaes-2015-0003</w:t>
      </w:r>
    </w:p>
    <w:p w14:paraId="774DFDAA" w14:textId="77777777" w:rsidR="005E603F" w:rsidRDefault="00000000">
      <w:pPr>
        <w:spacing w:line="480" w:lineRule="auto"/>
        <w:ind w:left="720" w:hanging="720"/>
        <w:jc w:val="both"/>
      </w:pPr>
      <w:r>
        <w:t xml:space="preserve">Hernandez-Betancur, J. D., Hernandez, H. F., &amp; Ocampo-Carmona, L. M. (2019). A holistic framework for assessing hot-dip galvanizing process sustainability. </w:t>
      </w:r>
      <w:r>
        <w:rPr>
          <w:i/>
        </w:rPr>
        <w:t>Journal of Cleaner Production</w:t>
      </w:r>
      <w:r>
        <w:t xml:space="preserve">, </w:t>
      </w:r>
      <w:r>
        <w:rPr>
          <w:i/>
        </w:rPr>
        <w:t>206</w:t>
      </w:r>
      <w:r>
        <w:t>, 755–766. https://doi.org/10.1016/j.jclepro.2018.09.177</w:t>
      </w:r>
    </w:p>
    <w:p w14:paraId="060966B6" w14:textId="77777777" w:rsidR="005E603F" w:rsidRPr="006569A1" w:rsidRDefault="00000000">
      <w:pPr>
        <w:spacing w:line="480" w:lineRule="auto"/>
        <w:ind w:left="720" w:hanging="720"/>
        <w:jc w:val="both"/>
        <w:rPr>
          <w:lang w:val="es-419"/>
        </w:rPr>
      </w:pPr>
      <w:r>
        <w:t xml:space="preserve">Hernandez-Betancur, J. D. (2018). </w:t>
      </w:r>
      <w:r w:rsidRPr="006569A1">
        <w:rPr>
          <w:i/>
          <w:lang w:val="es-419"/>
        </w:rPr>
        <w:t>Detección de los puntos críticos del proceso de galvanizado por inmersión en caliente: un enfoque hacia la sostenibilidad y el desarrollo sostenible</w:t>
      </w:r>
      <w:r w:rsidRPr="006569A1">
        <w:rPr>
          <w:lang w:val="es-419"/>
        </w:rPr>
        <w:t xml:space="preserve"> </w:t>
      </w:r>
      <w:r w:rsidRPr="006569A1">
        <w:rPr>
          <w:lang w:val="es-419"/>
        </w:rPr>
        <w:lastRenderedPageBreak/>
        <w:t>[Master’s thesis, Universidad Nacional de Colombia]. https://repositorio.unal.edu.co/handle/unal/63201</w:t>
      </w:r>
    </w:p>
    <w:p w14:paraId="31B602A6" w14:textId="77777777" w:rsidR="005E603F" w:rsidRDefault="00000000">
      <w:pPr>
        <w:spacing w:line="480" w:lineRule="auto"/>
        <w:ind w:left="720" w:hanging="720"/>
        <w:jc w:val="both"/>
      </w:pPr>
      <w:r>
        <w:t xml:space="preserve">IMARC Group. (2026a). </w:t>
      </w:r>
      <w:r>
        <w:rPr>
          <w:i/>
        </w:rPr>
        <w:t>Ammonium chloride price trend and forecast</w:t>
      </w:r>
      <w:r>
        <w:t>. https://www.imarcgroup.com/ammonium-chloride-pricing-report</w:t>
      </w:r>
    </w:p>
    <w:p w14:paraId="2E906C6D" w14:textId="77777777" w:rsidR="005E603F" w:rsidRDefault="00000000">
      <w:pPr>
        <w:spacing w:line="480" w:lineRule="auto"/>
        <w:ind w:left="720" w:hanging="720"/>
        <w:jc w:val="both"/>
      </w:pPr>
      <w:r>
        <w:t xml:space="preserve">IMARC Group. (2026b). </w:t>
      </w:r>
      <w:r>
        <w:rPr>
          <w:i/>
        </w:rPr>
        <w:t>Hydrochloric acid price index, trend and forecast</w:t>
      </w:r>
      <w:r>
        <w:t>. https://www.imarcgroup.com/hydrochloric-acid-pricing-report</w:t>
      </w:r>
    </w:p>
    <w:p w14:paraId="759C6E6E" w14:textId="77777777" w:rsidR="005E603F" w:rsidRDefault="00000000">
      <w:pPr>
        <w:spacing w:line="480" w:lineRule="auto"/>
        <w:ind w:left="720" w:hanging="720"/>
        <w:jc w:val="both"/>
      </w:pPr>
      <w:r>
        <w:t xml:space="preserve">IMARC Group. (2025). </w:t>
      </w:r>
      <w:r>
        <w:rPr>
          <w:i/>
        </w:rPr>
        <w:t>Zinc chloride prices in the USA stand at USD 1,296/MT amid stable industrial demand</w:t>
      </w:r>
      <w:r>
        <w:t>. https://www.imarcgroup.com/news/zinc-chloride-price-index</w:t>
      </w:r>
    </w:p>
    <w:p w14:paraId="0D457431" w14:textId="77777777" w:rsidR="005E603F" w:rsidRDefault="00000000">
      <w:pPr>
        <w:spacing w:line="480" w:lineRule="auto"/>
        <w:ind w:left="720" w:hanging="720"/>
        <w:jc w:val="both"/>
      </w:pPr>
      <w:r>
        <w:t xml:space="preserve">International Lead and Zinc Study Group. (2024). </w:t>
      </w:r>
      <w:r>
        <w:rPr>
          <w:i/>
        </w:rPr>
        <w:t>The world zinc factbook 2024</w:t>
      </w:r>
      <w:r>
        <w:t>. ILZSG. https://www.ilzsg.org/wp-content/uploads/SitePDFs/The%20World%20Zinc%20Factbook%202024.pdf</w:t>
      </w:r>
    </w:p>
    <w:p w14:paraId="3C872370" w14:textId="77777777" w:rsidR="005E603F" w:rsidRDefault="00000000">
      <w:pPr>
        <w:spacing w:line="480" w:lineRule="auto"/>
        <w:ind w:left="720" w:hanging="720"/>
        <w:jc w:val="both"/>
      </w:pPr>
      <w:r>
        <w:t xml:space="preserve">International Organization for Standardization. (2009). </w:t>
      </w:r>
      <w:r>
        <w:rPr>
          <w:i/>
        </w:rPr>
        <w:t>Hot dip galvanized coatings on fabricated iron and steel articles — Specifications and test methods</w:t>
      </w:r>
      <w:r>
        <w:t xml:space="preserve"> (ISO 1461:2009). ISO.</w:t>
      </w:r>
    </w:p>
    <w:p w14:paraId="27675CE6" w14:textId="77777777" w:rsidR="005E603F" w:rsidRDefault="00000000">
      <w:pPr>
        <w:spacing w:line="480" w:lineRule="auto"/>
        <w:ind w:left="720" w:hanging="720"/>
        <w:jc w:val="both"/>
      </w:pPr>
      <w:proofErr w:type="spellStart"/>
      <w:r>
        <w:t>Intratec</w:t>
      </w:r>
      <w:proofErr w:type="spellEnd"/>
      <w:r>
        <w:t xml:space="preserve">. (2026). </w:t>
      </w:r>
      <w:r>
        <w:rPr>
          <w:i/>
        </w:rPr>
        <w:t>Ammonium hydroxide prices worldwide</w:t>
      </w:r>
      <w:r>
        <w:t>. https://www.intratec.us/chemical-markets/ammonium-hydroxide-price</w:t>
      </w:r>
    </w:p>
    <w:p w14:paraId="4363BBE5" w14:textId="77777777" w:rsidR="005E603F" w:rsidRDefault="00000000">
      <w:pPr>
        <w:spacing w:line="480" w:lineRule="auto"/>
        <w:ind w:left="720" w:hanging="720"/>
        <w:jc w:val="both"/>
      </w:pPr>
      <w:r w:rsidRPr="006569A1">
        <w:rPr>
          <w:lang w:val="es-419"/>
        </w:rPr>
        <w:t xml:space="preserve">Kleywegt, A. J., Shapiro, A., &amp; Homem-de-Mello, T. (2002). </w:t>
      </w:r>
      <w:r>
        <w:t xml:space="preserve">The sample average approximation method for stochastic discrete optimization. </w:t>
      </w:r>
      <w:r>
        <w:rPr>
          <w:i/>
        </w:rPr>
        <w:t>SIAM Journal on Optimization</w:t>
      </w:r>
      <w:r>
        <w:t xml:space="preserve">, </w:t>
      </w:r>
      <w:r>
        <w:rPr>
          <w:i/>
        </w:rPr>
        <w:t>12</w:t>
      </w:r>
      <w:r>
        <w:t>(2), 479–502. https://doi.org/10.1137/S1052623499363220</w:t>
      </w:r>
    </w:p>
    <w:p w14:paraId="642C1FF3" w14:textId="77777777" w:rsidR="005E603F" w:rsidRDefault="00000000">
      <w:pPr>
        <w:spacing w:line="480" w:lineRule="auto"/>
        <w:ind w:left="720" w:hanging="720"/>
        <w:jc w:val="both"/>
      </w:pPr>
      <w:r>
        <w:t xml:space="preserve">Koch, G., Varney, J., Thompson, N., Moghissi, O., Gould, M., &amp; Payer, J. (2016). </w:t>
      </w:r>
      <w:r>
        <w:rPr>
          <w:i/>
        </w:rPr>
        <w:t>International measures of prevention, application, and economics of corrosion technologies study</w:t>
      </w:r>
      <w:r>
        <w:t>. NACE International.</w:t>
      </w:r>
    </w:p>
    <w:p w14:paraId="0BD28C5D" w14:textId="77777777" w:rsidR="005E603F" w:rsidRDefault="00000000">
      <w:pPr>
        <w:spacing w:line="480" w:lineRule="auto"/>
        <w:ind w:left="720" w:hanging="720"/>
        <w:jc w:val="both"/>
      </w:pPr>
      <w:r>
        <w:lastRenderedPageBreak/>
        <w:t xml:space="preserve">Kong, G., &amp; White, R. (2010). Toward cleaner production of hot dip galvanizing industry in China. </w:t>
      </w:r>
      <w:r>
        <w:rPr>
          <w:i/>
        </w:rPr>
        <w:t>Journal of Cleaner Production</w:t>
      </w:r>
      <w:r>
        <w:t xml:space="preserve">, </w:t>
      </w:r>
      <w:r>
        <w:rPr>
          <w:i/>
        </w:rPr>
        <w:t>18</w:t>
      </w:r>
      <w:r>
        <w:t>(10–11), 1092–1099. https://doi.org/10.1016/j.jclepro.2010.03.006</w:t>
      </w:r>
    </w:p>
    <w:p w14:paraId="275F9285" w14:textId="77777777" w:rsidR="005E603F" w:rsidRDefault="00000000">
      <w:pPr>
        <w:spacing w:line="480" w:lineRule="auto"/>
        <w:ind w:left="720" w:hanging="720"/>
        <w:jc w:val="both"/>
      </w:pPr>
      <w:r>
        <w:t xml:space="preserve">Law, A. M. (2015). </w:t>
      </w:r>
      <w:r>
        <w:rPr>
          <w:i/>
        </w:rPr>
        <w:t>Simulation modeling and analysis</w:t>
      </w:r>
      <w:r>
        <w:t xml:space="preserve"> (5th ed.). McGraw-Hill Education.</w:t>
      </w:r>
    </w:p>
    <w:p w14:paraId="1884BDC7" w14:textId="77777777" w:rsidR="005E603F" w:rsidRDefault="00000000">
      <w:pPr>
        <w:spacing w:line="480" w:lineRule="auto"/>
        <w:ind w:left="720" w:hanging="720"/>
        <w:jc w:val="both"/>
      </w:pPr>
      <w:r>
        <w:t xml:space="preserve">Lobato, N. C. C., Villegas, E. A., &amp; Mansur, M. B. (2015). Management of solid wastes from steelmaking and galvanizing processes: A brief review. </w:t>
      </w:r>
      <w:r>
        <w:rPr>
          <w:i/>
        </w:rPr>
        <w:t>Resources, Conservation and Recycling</w:t>
      </w:r>
      <w:r>
        <w:t xml:space="preserve">, </w:t>
      </w:r>
      <w:r>
        <w:rPr>
          <w:i/>
        </w:rPr>
        <w:t>102</w:t>
      </w:r>
      <w:r>
        <w:t>, 49–57. https://doi.org/10.1016/j.resconrec.2015.05.025</w:t>
      </w:r>
    </w:p>
    <w:p w14:paraId="37713D61" w14:textId="77777777" w:rsidR="005E603F" w:rsidRDefault="00000000">
      <w:pPr>
        <w:spacing w:line="480" w:lineRule="auto"/>
        <w:ind w:left="720" w:hanging="720"/>
        <w:jc w:val="both"/>
      </w:pPr>
      <w:r>
        <w:t xml:space="preserve">Lorenz, M., </w:t>
      </w:r>
      <w:proofErr w:type="spellStart"/>
      <w:r>
        <w:t>Seitfudem</w:t>
      </w:r>
      <w:proofErr w:type="spellEnd"/>
      <w:r>
        <w:t xml:space="preserve">, G., Randazzo, S., </w:t>
      </w:r>
      <w:proofErr w:type="spellStart"/>
      <w:r>
        <w:t>Gueccia</w:t>
      </w:r>
      <w:proofErr w:type="spellEnd"/>
      <w:r>
        <w:t xml:space="preserve">, R., Gehring, F., &amp; </w:t>
      </w:r>
      <w:proofErr w:type="spellStart"/>
      <w:r>
        <w:t>Prenzel</w:t>
      </w:r>
      <w:proofErr w:type="spellEnd"/>
      <w:r>
        <w:t xml:space="preserve">, T. M. (2023). Combining membrane and zero brine technologies in waste acid treatment for a circular economy in the hot-dip galvanizing industry: A life cycle perspective. </w:t>
      </w:r>
      <w:r>
        <w:rPr>
          <w:i/>
        </w:rPr>
        <w:t>Journal of Sustainable Metallurgy</w:t>
      </w:r>
      <w:r>
        <w:t xml:space="preserve">, </w:t>
      </w:r>
      <w:r>
        <w:rPr>
          <w:i/>
        </w:rPr>
        <w:t>9</w:t>
      </w:r>
      <w:r>
        <w:t>(2), 537–549. https://doi.org/10.1007/s40831-023-00668-3</w:t>
      </w:r>
    </w:p>
    <w:p w14:paraId="0E4C9406" w14:textId="77777777" w:rsidR="005E603F" w:rsidRPr="006569A1" w:rsidRDefault="00000000">
      <w:pPr>
        <w:spacing w:line="480" w:lineRule="auto"/>
        <w:ind w:left="720" w:hanging="720"/>
        <w:jc w:val="both"/>
        <w:rPr>
          <w:lang w:val="es-419"/>
        </w:rPr>
      </w:pPr>
      <w:r>
        <w:t xml:space="preserve">McKay, M. D., Beckman, R. J., &amp; Conover, W. J. (1979). Comparison of three methods for selecting values of input variables in the analysis of output from a computer code. </w:t>
      </w:r>
      <w:r w:rsidRPr="006569A1">
        <w:rPr>
          <w:i/>
          <w:lang w:val="es-419"/>
        </w:rPr>
        <w:t>Technometrics</w:t>
      </w:r>
      <w:r w:rsidRPr="006569A1">
        <w:rPr>
          <w:lang w:val="es-419"/>
        </w:rPr>
        <w:t xml:space="preserve">, </w:t>
      </w:r>
      <w:r w:rsidRPr="006569A1">
        <w:rPr>
          <w:i/>
          <w:lang w:val="es-419"/>
        </w:rPr>
        <w:t>21</w:t>
      </w:r>
      <w:r w:rsidRPr="006569A1">
        <w:rPr>
          <w:lang w:val="es-419"/>
        </w:rPr>
        <w:t>(2), 239–245. https://doi.org/10.1080/00401706.1979.10489755</w:t>
      </w:r>
    </w:p>
    <w:p w14:paraId="2AD75F3B" w14:textId="77777777" w:rsidR="005E603F" w:rsidRDefault="00000000">
      <w:pPr>
        <w:spacing w:line="480" w:lineRule="auto"/>
        <w:ind w:left="720" w:hanging="720"/>
        <w:jc w:val="both"/>
      </w:pPr>
      <w:r w:rsidRPr="006569A1">
        <w:rPr>
          <w:lang w:val="es-419"/>
        </w:rPr>
        <w:t xml:space="preserve">Reséndiz-Flores, E. O., Altamirano-Guerrero, G., Costa, P. S., Salas-Reyes, A. E., Salinas-Rodríguez, A., &amp; Goodwin, F. (2021). </w:t>
      </w:r>
      <w:r>
        <w:t xml:space="preserve">Optimal design of hot-dip galvanized DP steels via artificial neural networks and multi-objective genetic optimization. </w:t>
      </w:r>
      <w:r>
        <w:rPr>
          <w:i/>
        </w:rPr>
        <w:t>Metals</w:t>
      </w:r>
      <w:r>
        <w:t xml:space="preserve">, </w:t>
      </w:r>
      <w:r>
        <w:rPr>
          <w:i/>
        </w:rPr>
        <w:t>11</w:t>
      </w:r>
      <w:r>
        <w:t>(4), 578. https://doi.org/10.3390/met11040578</w:t>
      </w:r>
    </w:p>
    <w:p w14:paraId="236D24FD" w14:textId="77777777" w:rsidR="005E603F" w:rsidRDefault="00000000">
      <w:pPr>
        <w:spacing w:line="480" w:lineRule="auto"/>
        <w:ind w:left="720" w:hanging="720"/>
        <w:jc w:val="both"/>
      </w:pPr>
      <w:r>
        <w:t xml:space="preserve">Ruiz-Mercado, G. J., Smith, R. L., &amp; Gonzalez, M. A. (2012). Sustainability indicators for chemical processes: I. Taxonomy. </w:t>
      </w:r>
      <w:r>
        <w:rPr>
          <w:i/>
        </w:rPr>
        <w:t>Industrial &amp; Engineering Chemistry Research</w:t>
      </w:r>
      <w:r>
        <w:t xml:space="preserve">, </w:t>
      </w:r>
      <w:r>
        <w:rPr>
          <w:i/>
        </w:rPr>
        <w:t>51</w:t>
      </w:r>
      <w:r>
        <w:t>(5), 2309–2328. https://doi.org/10.1021/ie102116e</w:t>
      </w:r>
    </w:p>
    <w:p w14:paraId="2D30CD7C" w14:textId="77777777" w:rsidR="005E603F" w:rsidRDefault="00000000">
      <w:pPr>
        <w:spacing w:line="480" w:lineRule="auto"/>
        <w:ind w:left="720" w:hanging="720"/>
        <w:jc w:val="both"/>
      </w:pPr>
      <w:r>
        <w:lastRenderedPageBreak/>
        <w:t xml:space="preserve">Smith, R. L., &amp; Ruiz-Mercado, G. J. (2014). A method for decision making using sustainability indicators. </w:t>
      </w:r>
      <w:r>
        <w:rPr>
          <w:i/>
        </w:rPr>
        <w:t>Clean Technologies and Environmental Policy</w:t>
      </w:r>
      <w:r>
        <w:t xml:space="preserve">, </w:t>
      </w:r>
      <w:r>
        <w:rPr>
          <w:i/>
        </w:rPr>
        <w:t>16</w:t>
      </w:r>
      <w:r>
        <w:t>(4), 749–755. https://doi.org/10.1007/s10098-013-0684-5</w:t>
      </w:r>
    </w:p>
    <w:p w14:paraId="4447E424" w14:textId="77777777" w:rsidR="005E603F" w:rsidRDefault="00000000">
      <w:pPr>
        <w:spacing w:line="480" w:lineRule="auto"/>
        <w:ind w:left="720" w:hanging="720"/>
        <w:jc w:val="both"/>
      </w:pPr>
      <w:proofErr w:type="spellStart"/>
      <w:r>
        <w:t>Tongpool</w:t>
      </w:r>
      <w:proofErr w:type="spellEnd"/>
      <w:r>
        <w:t xml:space="preserve">, R., </w:t>
      </w:r>
      <w:proofErr w:type="spellStart"/>
      <w:r>
        <w:t>Jirajariyavech</w:t>
      </w:r>
      <w:proofErr w:type="spellEnd"/>
      <w:r>
        <w:t xml:space="preserve">, A., </w:t>
      </w:r>
      <w:proofErr w:type="spellStart"/>
      <w:r>
        <w:t>Yuvaniyama</w:t>
      </w:r>
      <w:proofErr w:type="spellEnd"/>
      <w:r>
        <w:t xml:space="preserve">, C., &amp; </w:t>
      </w:r>
      <w:proofErr w:type="spellStart"/>
      <w:r>
        <w:t>Mungcharoen</w:t>
      </w:r>
      <w:proofErr w:type="spellEnd"/>
      <w:r>
        <w:t xml:space="preserve">, T. (2010). Analysis of steel production in Thailand: Environmental impacts and solutions. </w:t>
      </w:r>
      <w:r>
        <w:rPr>
          <w:i/>
        </w:rPr>
        <w:t>Energy</w:t>
      </w:r>
      <w:r>
        <w:t xml:space="preserve">, </w:t>
      </w:r>
      <w:r>
        <w:rPr>
          <w:i/>
        </w:rPr>
        <w:t>35</w:t>
      </w:r>
      <w:r>
        <w:t>(10), 4192–4200. https://doi.org/10.1016/j.energy.2010.07.003</w:t>
      </w:r>
    </w:p>
    <w:p w14:paraId="1508079B" w14:textId="77777777" w:rsidR="005E603F" w:rsidRDefault="00000000">
      <w:pPr>
        <w:spacing w:line="480" w:lineRule="auto"/>
        <w:ind w:left="720" w:hanging="720"/>
        <w:jc w:val="both"/>
      </w:pPr>
      <w:r>
        <w:t xml:space="preserve">U.S. Geological Survey. (2025). </w:t>
      </w:r>
      <w:r>
        <w:rPr>
          <w:i/>
        </w:rPr>
        <w:t>Interior Department releases final 2025 list of critical minerals</w:t>
      </w:r>
      <w:r>
        <w:t>. https://www.usgs.gov/news/science-snippet/interior-department-releases-final-2025-list-critical-minerals</w:t>
      </w:r>
    </w:p>
    <w:p w14:paraId="70188692" w14:textId="77777777" w:rsidR="005E603F" w:rsidRDefault="00000000">
      <w:pPr>
        <w:spacing w:line="480" w:lineRule="auto"/>
        <w:ind w:left="720" w:hanging="720"/>
        <w:jc w:val="both"/>
      </w:pPr>
      <w:r>
        <w:t xml:space="preserve">U.S. Geological Survey. (2026). Zinc. In </w:t>
      </w:r>
      <w:r>
        <w:rPr>
          <w:i/>
        </w:rPr>
        <w:t>Mineral commodity summaries 2026</w:t>
      </w:r>
      <w:r>
        <w:t>. https://pubs.usgs.gov/periodicals/mcs2026/mcs2026-zinc.pdf</w:t>
      </w:r>
    </w:p>
    <w:p w14:paraId="77EF70E4" w14:textId="77777777" w:rsidR="005E603F" w:rsidRDefault="00000000">
      <w:pPr>
        <w:spacing w:line="480" w:lineRule="auto"/>
        <w:ind w:left="720" w:hanging="720"/>
        <w:jc w:val="both"/>
      </w:pPr>
      <w:r w:rsidRPr="006569A1">
        <w:rPr>
          <w:lang w:val="es-419"/>
        </w:rPr>
        <w:t xml:space="preserve">Vyhmeister, E., Ruiz-Mercado, G. J., Torres, A. I., &amp; Posada, J. A. (2018). </w:t>
      </w:r>
      <w:r>
        <w:t xml:space="preserve">Optimization of multi-pathway production chains and multi-criteria decision-making through sustainability evaluation: A </w:t>
      </w:r>
      <w:proofErr w:type="spellStart"/>
      <w:r>
        <w:t>biojet</w:t>
      </w:r>
      <w:proofErr w:type="spellEnd"/>
      <w:r>
        <w:t xml:space="preserve"> fuel production case study. </w:t>
      </w:r>
      <w:r>
        <w:rPr>
          <w:i/>
        </w:rPr>
        <w:t>Clean Technologies and Environmental Policy</w:t>
      </w:r>
      <w:r>
        <w:t xml:space="preserve">, </w:t>
      </w:r>
      <w:r>
        <w:rPr>
          <w:i/>
        </w:rPr>
        <w:t>20</w:t>
      </w:r>
      <w:r>
        <w:t>(7), 1697–1719. https://doi.org/10.1007/s10098-018-1576-5</w:t>
      </w:r>
    </w:p>
    <w:p w14:paraId="37CAE393" w14:textId="77777777" w:rsidR="005E603F" w:rsidRDefault="00000000">
      <w:pPr>
        <w:spacing w:line="480" w:lineRule="auto"/>
        <w:ind w:left="720" w:hanging="720"/>
        <w:jc w:val="both"/>
      </w:pPr>
      <w:r>
        <w:t xml:space="preserve">Wang, Y. (2018). Study on influence factors of zinc layer thickness via response surface method, Taguchi method and genetic algorithm. </w:t>
      </w:r>
      <w:r>
        <w:rPr>
          <w:i/>
        </w:rPr>
        <w:t>Industrial Engineering &amp; Management</w:t>
      </w:r>
      <w:r>
        <w:t xml:space="preserve">, </w:t>
      </w:r>
      <w:r>
        <w:rPr>
          <w:i/>
        </w:rPr>
        <w:t>7</w:t>
      </w:r>
      <w:r>
        <w:t>(1). https://doi.org/10.4172/2169-0316.1000245</w:t>
      </w:r>
    </w:p>
    <w:p w14:paraId="7D8944E8" w14:textId="77777777" w:rsidR="005E603F" w:rsidRDefault="00000000">
      <w:pPr>
        <w:spacing w:line="480" w:lineRule="auto"/>
        <w:ind w:left="720" w:hanging="720"/>
        <w:jc w:val="both"/>
      </w:pPr>
      <w:r>
        <w:t xml:space="preserve">World Steel Association. (2025). </w:t>
      </w:r>
      <w:r>
        <w:rPr>
          <w:i/>
        </w:rPr>
        <w:t>December 2024 crude steel production and 2024 global crude steel production totals</w:t>
      </w:r>
      <w:r>
        <w:t xml:space="preserve"> [Press release]. https://worldsteel.org/media/press-releases/2025/december-2024-crude-steel-production-and-2024-global-totals/</w:t>
      </w:r>
    </w:p>
    <w:p w14:paraId="16257590" w14:textId="77777777" w:rsidR="005E603F" w:rsidRDefault="00000000">
      <w:pPr>
        <w:spacing w:line="480" w:lineRule="auto"/>
        <w:ind w:left="720" w:hanging="720"/>
        <w:jc w:val="both"/>
      </w:pPr>
      <w:r>
        <w:lastRenderedPageBreak/>
        <w:t xml:space="preserve">Zimmermann, H.-J. (1978). Fuzzy programming and linear programming with several objective functions. </w:t>
      </w:r>
      <w:r>
        <w:rPr>
          <w:i/>
        </w:rPr>
        <w:t>Fuzzy Sets and Systems</w:t>
      </w:r>
      <w:r>
        <w:t xml:space="preserve">, </w:t>
      </w:r>
      <w:r>
        <w:rPr>
          <w:i/>
        </w:rPr>
        <w:t>1</w:t>
      </w:r>
      <w:r>
        <w:t>(1), 45–55. https://doi.org/10.1016/0165-0114(78)90031-3</w:t>
      </w:r>
    </w:p>
    <w:p w14:paraId="361BE3C3" w14:textId="77777777" w:rsidR="005E603F" w:rsidRDefault="00000000">
      <w:pPr>
        <w:spacing w:line="480" w:lineRule="auto"/>
        <w:ind w:left="720" w:hanging="720"/>
        <w:jc w:val="both"/>
      </w:pPr>
      <w:r>
        <w:t xml:space="preserve">Zitzler, E., &amp; Thiele, L. (1999). </w:t>
      </w:r>
      <w:proofErr w:type="spellStart"/>
      <w:r>
        <w:t>Multiobjective</w:t>
      </w:r>
      <w:proofErr w:type="spellEnd"/>
      <w:r>
        <w:t xml:space="preserve"> evolutionary algorithms: A comparative case study and the strength Pareto approach. </w:t>
      </w:r>
      <w:r>
        <w:rPr>
          <w:i/>
        </w:rPr>
        <w:t>IEEE Transactions on Evolutionary Computation</w:t>
      </w:r>
      <w:r>
        <w:t xml:space="preserve">, </w:t>
      </w:r>
      <w:r>
        <w:rPr>
          <w:i/>
        </w:rPr>
        <w:t>3</w:t>
      </w:r>
      <w:r>
        <w:t>(4), 257–271. https://doi.org/10.1109/4235.797969</w:t>
      </w:r>
    </w:p>
    <w:sectPr w:rsidR="005E603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77BDCC" w14:textId="77777777" w:rsidR="00E3337C" w:rsidRDefault="00E3337C">
      <w:r>
        <w:separator/>
      </w:r>
    </w:p>
  </w:endnote>
  <w:endnote w:type="continuationSeparator" w:id="0">
    <w:p w14:paraId="2D65AB76" w14:textId="77777777" w:rsidR="00E3337C" w:rsidRDefault="00E33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450170EC-E35E-9A4F-967B-7D92B12244B9}"/>
  </w:font>
  <w:font w:name="Times New Roman">
    <w:panose1 w:val="02020603050405020304"/>
    <w:charset w:val="00"/>
    <w:family w:val="roman"/>
    <w:pitch w:val="variable"/>
    <w:sig w:usb0="E0002EFF" w:usb1="C000785B" w:usb2="00000009" w:usb3="00000000" w:csb0="000001FF" w:csb1="00000000"/>
    <w:embedRegular r:id="rId3" w:fontKey="{165D5039-64F4-A548-8DF7-3AC7668DF947}"/>
    <w:embedBold r:id="rId4" w:fontKey="{D394ED92-4E72-AB4E-9A08-6D528364C901}"/>
    <w:embedItalic r:id="rId5" w:fontKey="{75ECB310-C957-974B-87C0-09ECB1DB361F}"/>
  </w:font>
  <w:font w:name="Georgia">
    <w:panose1 w:val="02040502050405020303"/>
    <w:charset w:val="00"/>
    <w:family w:val="roman"/>
    <w:pitch w:val="variable"/>
    <w:sig w:usb0="00000287" w:usb1="00000000" w:usb2="00000000" w:usb3="00000000" w:csb0="0000009F" w:csb1="00000000"/>
    <w:embedItalic r:id="rId6" w:fontKey="{1B8E75C9-95BF-E141-BC7D-C0451A9D68C3}"/>
  </w:font>
  <w:font w:name="Cambria Math">
    <w:panose1 w:val="02040503050406030204"/>
    <w:charset w:val="00"/>
    <w:family w:val="roman"/>
    <w:pitch w:val="variable"/>
    <w:sig w:usb0="E00002FF" w:usb1="420024FF" w:usb2="00000000" w:usb3="00000000" w:csb0="0000019F" w:csb1="00000000"/>
    <w:embedRegular r:id="rId7" w:fontKey="{CE7AC8ED-A263-984F-8CA7-4C72995C9413}"/>
    <w:embedItalic r:id="rId8" w:fontKey="{585263E0-0444-A64F-A36E-4A885EE70671}"/>
  </w:font>
  <w:font w:name="Calibri">
    <w:panose1 w:val="020F0502020204030204"/>
    <w:charset w:val="00"/>
    <w:family w:val="swiss"/>
    <w:pitch w:val="variable"/>
    <w:sig w:usb0="E0002AFF" w:usb1="C000247B" w:usb2="00000009" w:usb3="00000000" w:csb0="000001FF" w:csb1="00000000"/>
    <w:embedRegular r:id="rId9" w:fontKey="{EEF09C4E-EC38-4745-A184-C854AF465CF0}"/>
  </w:font>
  <w:font w:name="Cambria">
    <w:panose1 w:val="02040503050406030204"/>
    <w:charset w:val="00"/>
    <w:family w:val="roman"/>
    <w:pitch w:val="variable"/>
    <w:sig w:usb0="E00002FF" w:usb1="400004FF" w:usb2="00000000" w:usb3="00000000" w:csb0="0000019F" w:csb1="00000000"/>
    <w:embedRegular r:id="rId10" w:fontKey="{19570196-27ED-7C47-AD9D-CBCE57E8A5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B9" w14:textId="77777777" w:rsidR="00437DC0"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1BA" w14:textId="77777777" w:rsidR="00437DC0" w:rsidRDefault="00437DC0">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B6" w14:textId="0122DF59" w:rsidR="00437DC0"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1936F5">
      <w:rPr>
        <w:noProof/>
        <w:color w:val="000000"/>
      </w:rPr>
      <w:t>1</w:t>
    </w:r>
    <w:r>
      <w:rPr>
        <w:color w:val="000000"/>
      </w:rPr>
      <w:fldChar w:fldCharType="end"/>
    </w:r>
  </w:p>
  <w:p w14:paraId="000001B7" w14:textId="77777777" w:rsidR="00437DC0" w:rsidRDefault="00437DC0">
    <w:pP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B8" w14:textId="77777777" w:rsidR="00437DC0" w:rsidRDefault="00437DC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ACC01" w14:textId="77777777" w:rsidR="00E3337C" w:rsidRDefault="00E3337C">
      <w:r>
        <w:separator/>
      </w:r>
    </w:p>
  </w:footnote>
  <w:footnote w:type="continuationSeparator" w:id="0">
    <w:p w14:paraId="58DE2807" w14:textId="77777777" w:rsidR="00E3337C" w:rsidRDefault="00E33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B5" w14:textId="77777777" w:rsidR="00437DC0" w:rsidRDefault="00437DC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B3" w14:textId="77777777" w:rsidR="00437DC0" w:rsidRDefault="00437DC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B4" w14:textId="77777777" w:rsidR="00437DC0" w:rsidRDefault="00437DC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674DE8"/>
    <w:multiLevelType w:val="multilevel"/>
    <w:tmpl w:val="1368C458"/>
    <w:lvl w:ilvl="0">
      <w:start w:val="1"/>
      <w:numFmt w:val="decimal"/>
      <w:lvlText w:val="%1."/>
      <w:lvlJc w:val="left"/>
      <w:pPr>
        <w:ind w:left="720" w:hanging="360"/>
      </w:pPr>
    </w:lvl>
    <w:lvl w:ilvl="1">
      <w:start w:val="1"/>
      <w:numFmt w:val="decimal"/>
      <w:lvlText w:val="%1.%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88054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DC0"/>
    <w:rsid w:val="0004609D"/>
    <w:rsid w:val="0005677F"/>
    <w:rsid w:val="0009672A"/>
    <w:rsid w:val="00180C16"/>
    <w:rsid w:val="001936F5"/>
    <w:rsid w:val="001B4474"/>
    <w:rsid w:val="00227590"/>
    <w:rsid w:val="002C766A"/>
    <w:rsid w:val="0031425D"/>
    <w:rsid w:val="003A047F"/>
    <w:rsid w:val="00432DDE"/>
    <w:rsid w:val="00437DC0"/>
    <w:rsid w:val="004870D4"/>
    <w:rsid w:val="00490CFC"/>
    <w:rsid w:val="004B037A"/>
    <w:rsid w:val="004C3A34"/>
    <w:rsid w:val="004F7994"/>
    <w:rsid w:val="00535C86"/>
    <w:rsid w:val="005E603F"/>
    <w:rsid w:val="0063065E"/>
    <w:rsid w:val="00637DD6"/>
    <w:rsid w:val="006569A1"/>
    <w:rsid w:val="007C5EC7"/>
    <w:rsid w:val="008A1F33"/>
    <w:rsid w:val="00992909"/>
    <w:rsid w:val="00A65127"/>
    <w:rsid w:val="00B775A1"/>
    <w:rsid w:val="00BC13F4"/>
    <w:rsid w:val="00C63FA3"/>
    <w:rsid w:val="00CA5B20"/>
    <w:rsid w:val="00D10017"/>
    <w:rsid w:val="00DB3DB9"/>
    <w:rsid w:val="00DD09C4"/>
    <w:rsid w:val="00E3337C"/>
    <w:rsid w:val="00F64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FA03CC"/>
  <w15:docId w15:val="{DA5FCB91-1D24-2345-AC56-D49B1580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240" w:after="240"/>
      <w:outlineLvl w:val="0"/>
    </w:pPr>
    <w:rPr>
      <w:b/>
      <w:bCs/>
      <w:color w:val="2F5496"/>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40" w:after="240"/>
      <w:outlineLvl w:val="1"/>
    </w:pPr>
    <w:rPr>
      <w:b/>
      <w:bCs/>
      <w:color w:val="2F549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CellMar>
        <w:top w:w="0" w:type="dxa"/>
        <w:left w:w="10" w:type="dxa"/>
        <w:bottom w:w="0" w:type="dxa"/>
        <w:right w:w="10" w:type="dxa"/>
      </w:tblCellMar>
    </w:tblPr>
  </w:style>
  <w:style w:type="table" w:customStyle="1" w:styleId="a2">
    <w:basedOn w:val="TableNormal1"/>
    <w:tblPr>
      <w:tblStyleRowBandSize w:val="1"/>
      <w:tblStyleColBandSize w:val="1"/>
      <w:tblCellMar>
        <w:top w:w="0" w:type="dxa"/>
        <w:left w:w="10" w:type="dxa"/>
        <w:bottom w:w="0" w:type="dxa"/>
        <w:right w:w="10" w:type="dxa"/>
      </w:tblCellMar>
    </w:tblPr>
  </w:style>
  <w:style w:type="table" w:customStyle="1" w:styleId="a3">
    <w:basedOn w:val="TableNormal1"/>
    <w:tblPr>
      <w:tblStyleRowBandSize w:val="1"/>
      <w:tblStyleColBandSize w:val="1"/>
      <w:tblCellMar>
        <w:top w:w="0" w:type="dxa"/>
        <w:left w:w="10" w:type="dxa"/>
        <w:bottom w:w="0" w:type="dxa"/>
        <w:right w:w="10" w:type="dxa"/>
      </w:tblCellMar>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936F5"/>
  </w:style>
  <w:style w:type="paragraph" w:styleId="Caption">
    <w:name w:val="caption"/>
    <w:basedOn w:val="Normal"/>
    <w:next w:val="Normal"/>
    <w:uiPriority w:val="35"/>
    <w:unhideWhenUsed/>
    <w:qFormat/>
    <w:rsid w:val="001936F5"/>
    <w:pPr>
      <w:spacing w:after="200" w:line="240" w:lineRule="atLeast"/>
      <w:jc w:val="both"/>
    </w:pPr>
    <w:rPr>
      <w:iCs/>
      <w:color w:val="000000"/>
      <w:sz w:val="18"/>
      <w:szCs w:val="18"/>
    </w:rPr>
  </w:style>
  <w:style w:type="character" w:styleId="PlaceholderText">
    <w:name w:val="Placeholder Text"/>
    <w:basedOn w:val="DefaultParagraphFont"/>
    <w:uiPriority w:val="99"/>
    <w:semiHidden/>
    <w:rsid w:val="001936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E36BBB-BAEC-9547-AC96-E8427C4912FB}">
  <we:reference id="wa200010725" version="1.0.0.1" store="en-US" storeType="OMEX"/>
  <we:alternateReferences>
    <we:reference id="WA200010725" version="1.0.0.1" store="" storeType="OMEX"/>
  </we:alternateReferences>
  <we:properties>
    <we:property name="claude.fileId" value="&quot;9700444e-ba77-42b8-8140-b053048feab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tc6WDmg9aX207wtqgbvaTffOQ==">CgMxLjAaJwoBMBIiCiAIBCocCgtBQUFDR05mMkVITRAIGgtBQUFDR05mMkVITRonCgExEiIKIAgEKhwKC0FBQUNHTmYyRUdnEAgaC0FBQUNHTmYyRUdnGicKATISIgogCAQqHAoLQUFBQ0dOZjJFSEUQCBoLQUFBQ0dOZjJFSEUaJwoBMxIiCiAIBCocCgtBQUFDR05mMkVGcxAIGgtBQUFDR05mMkVGcxonCgE0EiIKIAgEKhwKC0FBQUNHTmYyRUdNEAgaC0FBQUNHTmYyRUdNGicKATUSIgogCAQqHAoLQUFBQ0dOZjJFRzQQCBoLQUFBQ0dOZjJFRzQaJwoBNhIiCiAIBCocCgtBQUFDR05mMkVHWRAIGgtBQUFDR05mMkVHWRonCgE3EiIKIAgEKhwKC0FBQUNHTmYyRUhREAgaC0FBQUNHTmYyRUhRGicKATgSIgogCAQqHAoLQUFBQ0dOZjJFRmsQCBoLQUFBQ0dOZjJFRmsaJwoBORIiCiAIBCocCgtBQUFDR05mMkVIVRAIGgtBQUFDR05mMkVIVRooCgIxMBIiCiAIBCocCgtBQUFDR05mMkVHURAIGgtBQUFDR05mMkVHURooCgIxMRIiCiAIBCocCgtBQUFDR05mMkVHRRAIGgtBQUFDR05mMkVHRRooCgIxMhIiCiAIBCocCgtBQUFDR05mMkVHYxAIGgtBQUFDR05mMkVHYxooCgIxMxIiCiAIBCocCgtBQUFDR05mMkVIQRAIGgtBQUFDR05mMkVIQRooCgIxNBIiCiAIBCocCgtBQUFDR05mMkVISRAIGgtBQUFDR05mMkVISRooCgIxNRIiCiAIBCocCgtBQUFDR05mMkVGNBAIGgtBQUFDR05mMkVGNBooCgIxNhIiCiAIBCocCgtBQUFDR05mMkVGOBAIGgtBQUFDR05mMkVGOBooCgIxNxIiCiAIBCocCgtBQUFDR05mMkVGdxAIGgtBQUFDR05mMkVGdxooCgIxOBIiCiAIBCocCgtBQUFDR05mMkVGMBAIGgtBQUFDR05mMkVGMBooCgIxORIiCiAIBCocCgtBQUFDR05mMkVHSRAIGgtBQUFDR05mMkVHSRooCgIyMBIiCiAIBCocCgtBQUFDR05mMkVHdxAIGgtBQUFDR05mMkVHdxooCgIyMRIiCiAIBCocCgtBQUFDR05mMkVHQRAIGgtBQUFDR05mMkVHQRooCgIyMhIiCiAIBCocCgtBQUFDR05mMkVHMBAIGgtBQUFDR05mMkVHMBooCgIyMxIiCiAIBCocCgtBQUFDR05mMkVHcxAIGgtBQUFDR05mMkVHcxooCgIyNBIiCiAIBCocCgtBQUFDR05mMkVGbxAIGgtBQUFDR05mMkVGbxooCgIyNRIiCiAIBCocCgtBQUFDR05mMkVHVRAIGgtBQUFDR05mMkVHVRooCgIyNhIiCiAIBCocCgtBQUFDR05mMkVHbxAIGgtBQUFDR05mMkVHbxooCgIyNxIiCiAIBCocCgtBQUFDR05mMkVIdxAIGgtBQUFDR05mMkVIdxooCgIyOBIiCiAIBCocCgtBQUFDR05mMkVHOBAIGgtBQUFDR05mMkVHOBooCgIyORIiCiAIBCocCgtBQUFDR05mMkVHaxAIGgtBQUFDR05mMkVHaxooCgIzMBIiCiAIBCocCgtBQUFDR05raTRRZxAIGgtBQUFDR05raTRRZxobCgIzMRIVChMIBCoPCgtBQUFDR05mMkVIaxABGhsKAjMyEhUKEwgEKg8KC0FBQUNHTmYyRUhrEAIaGwoCMzMSFQoTCAQqDwoLQUFBQ0dOZjJFSG8QARobCgIzNBIVChMIBCoPCgtBQUFDR05mMkVIbxACGhsKAjM1EhUKEwgEKg8KC0FBQUNHTmYyRUhzEAEaGwoCMzYSFQoTCAQqDwoLQUFBQ0dOZjJFSHMQAhobCgIzNxIVChMIBCoPCgtBQUFDR05raTRRaxABGjAKAjM4EioKEwgEKg8KC0FBQUNHTmtpNFFrEAQKEwgEKg8KC0FBQUNHTmtpNFFrEAEaGwoCMzkSFQoTCAQqDwoLQUFBQ0dOa2k0UWsQAhowCgI0MBIqChMIBCoPCgtBQUFDR05raTRRaxAEChMIBCoPCgtBQUFDR05raTRRaxACGhMKAjQxEg0KCwgHQgcSBUNhcmRvGigKAjQyEiIKIAgEKhwKC0FBQUNHTmtpNFFFEAgaC0FBQUNHTmtpNFFFGigKAjQzEiIKIAgEKhwKC0FBQUNHTmtpNFFJEAgaC0FBQUNHTmtpNFFJGigKAjQ0EiIKIAgEKhwKC0FBQUNHTmtpNFE0EAgaC0FBQUNHTmtpNFE0GhUKAjQ1Eg8KDQgHQgkSB0d1bmdzdWgaFQoCNDYSDwoNCAdCCRIHR3VuZ3N1aBooCgI0NxIiCiAIBCocCgtBQUFDR05raTRRMBAIGgtBQUFDR05raTRRMBooCgI0OBIiCiAIBCocCgtBQUFDR05raTRROBAIGgtBQUFDR05raTRROBooCgI0ORIiCiAIBCocCgtBQUFDR09kUzBWcxAIGgtBQUFDR09kUzBWcxooCgI1MBIiCiAIBCocCgtBQUFDR09kUzBWOBAIGgtBQUFDR09kUzBWOBoVCgI1MRIPCg0IB0IJEgdHdW5nc3VoGigKAjUyEiIKIAgEKhwKC0FBQUNHT2RTMFdFEAgaC0FBQUNHT2RTMFdFGigKAjUzEiIKIAgEKhwKC0FBQUNHT2RTMFdJEAgaC0FBQUNHT2RTMFdJGigKAjU0EiIKIAgEKhwKC0FBQUNHT2RTMFdREAgaC0FBQUNHT2RTMFdRGigKAjU1EiIKIAgEKhwKC0FBQUNHT2RTMFdVEAgaC0FBQUNHT2RTMFdVGigKAjU2EiIKIAgEKhwKC0FBQUNHT2RTMFdZEAgaC0FBQUNHT2RTMFdZGigKAjU3EiIKIAgEKhwKC0FBQUNHT2RTMFdvEAgaC0FBQUNHT2RTMFdvGigKAjU4EiIKIAgEKhwKC0FBQUNHT2RTMFdzEAgaC0FBQUNHT2RTMFdzGigKAjU5EiIKIAgEKhwKC0FBQUNHT2RTMFd3EAgaC0FBQUNHT2RTMFd3GhUKAjYwEg8KDQgHQgkSB0d1bmdzdWgaFQoCNjESDwoNCAdCCRIHR3VuZ3N1aBoVCgI2MhIPCg0IB0IJEgdHdW5nc3VoGigKAjYzEiIKIAgEKhwKC0FBQUNHT2RTMFcwEAgaC0FBQUNHT2RTMFcwGigKAjY0EiIKIAgEKhwKC0FBQUNHT2RTMFc0EAgaC0FBQUNHT2RTMFc0GigKAjY1EiIKIAgEKhwKC0FBQUNHT2RTMFc4EAgaC0FBQUNHT2RTMFc4GhMKAjY2Eg0KCwgHQgcSBUNhcmRvGigKAjY3EiIKIAgEKhwKC0FBQUNHT2RTMFhBEAgaC0FBQUNHT2RTMFhBGigKAjY4EiIKIAgEKhwKC0FBQUNHT1RUU09vEAgaC0FBQUNHT1RUU09vGigKAjY5EiIKIAgEKhwKC0FBQUNHT1RUU08wEAgaC0FBQUNHT1RUU08wGigKAjcwEiIKIAgEKhwKC0FBQUNHT1RUU084EAgaC0FBQUNHT1RUU084GigKAjcxEiIKIAgEKhwKC0FBQUNHT1RUU084EAgaC0FBQUNHT1RUU1BJGigKAjcyEiIKIAgEKhwKC0FBQUNHT1RUU1BREAgaC0FBQUNHT1RUU1BRGigKAjczEiIKIAgEKhwKC0FBQUNHT1RQQXkwEAgaC0FBQUNHT1RQQXkwGigKAjc0EiIKIAgEKhwKC0FBQUNHT1RQQXk4EAgaC0FBQUNHT1RQQXk4GigKAjc1EiIKIAgEKhwKC0FBQUNHT1RQQXpBEAgaC0FBQUNHT1RQQXpBGigKAjc2EiIKIAgEKhwKC0FBQUNHT1RQQXpFEAgaC0FBQUNHT1RQQXpFGigKAjc3EiIKIAgEKhwKC0FBQUNGSEpHWUFBEAgaC0FBQUNGSEpHWUFBGigKAjc4EiIKIAgEKhwKC0FBQUNGSEpHWUFNEAgaC0FBQUNGSEpHWUFNGigKAjc5EiIKIAgEKhwKC0FBQUNGSEpHWUJZEAgaC0FBQUNGSEpHWUJZGigKAjgwEiIKIAgEKhwKC0FBQUNHTnB1Z3JvEAgaC0FBQUNHTnB1Z3JvGigKAjgxEiIKIAgEKhwKC0FBQUNHTnB1Z3J3EAgaC0FBQUNHTnB1Z3J3GigKAjgyEiIKIAgEKhwKC0FBQUNHTnB1Z3I0EAgaC0FBQUNHTnB1Z3I0GigKAjgzEiIKIAgEKhwKC0FBQUNHTnB1Z3I4EAgaC0FBQUNHTnB1Z3I4GigKAjg0EiIKIAgEKhwKC0FBQUNHTnB1Z3NFEAgaC0FBQUNHTnB1Z3NFGigKAjg1EiIKIAgEKhwKC0FBQUNHTnB1Z3NBEAgaC0FBQUNHTnB1Z3NBGhUKAjg2Eg8KDQgHQgkSB0d1bmdzdWgizggKC0FBQUNHT2RTMFZzEpwICgtBQUFDR09kUzBWcxILQUFBQ0dPZFMwVnMaHgoJdGV4dC9odG1sEhF1bmNsZWFyIHJlbGV2YW5jeSIfCgp0ZXh0L3BsYWluEhF1bmNsZWFyIHJlbGV2YW5jeSobIhUxMDM0Mjg2NjQ4OTAzOTc5MjQ1MjMoADgAMOSCmfuENDjkgpn7hDRK1wYKCnRleHQvcGxhaW4SyAZUaGUgT3JhY2xlIGNlaWxpbmcgaXMgZGVmaW5lZCBhcyBhIHRoZW9yZXRpY2FsIHVwcGVyIGJvdW5kIG9uIGFjdGl2aXR5IGNvdmVyYWdlLiBGb3IgZWFjaCBxdWVyeSBjaGVtaWNhbCBpbiB0aGUgdGVzdCBzcGxpdCwgdGhlIE9yYWNsZSBzY2FucyBldmVyeSBjaGVtaWNhbCBpbiB0aGUgaW5kZXggc3BsaXQsIGNvbXB1dGVzIHRoZSBKYWNjYXJkIG92ZXJsYXAgYmV0d2VlbiB0aGVpciByZXNwZWN0aXZlIGFjdGl2aXR5LWNvZGUgc2V0cywgYW5kIHNlbGVjdHMgdGhlIGsgaW5kZXggY2hlbWljYWxzIHdob3NlIGNvZGVzIGhhdmUgdGhlIGhpZ2hlc3QgSmFjY2FyZCBvdmVybGFwIHdpdGggdGhlIGdyb3VuZC10cnV0aCBjb2RlcyBvZiB0aGUgcXVlcnkuIFRoZSBhc3NvY2lhdGVkIGFjdGl2aXR5IGNvZGVzIG9mIHRob3NlIGsgY2hlbWljYWxzIGFyZSB0aGVuIHBvb2xlZCBhbmQgcmFua2VkLCBhbmQgdGhlIHNhbWUgV2VpZ2h0ZWRDb3ZlcmFnZSBhbmQgQ29kZVByZWNpc2lvbiBtZXRyaWNzIGFyZSBjb21wdXRlZCBvbiB0aGlzIE9yYWNsZS1yYW5rZWQgcG9vbC4gQnkgY29uc3RydWN0aW9uLCB0aGUgT3JhY2xlIHVzZXMgaW5mb3JtYXRpb24gdGhhdCBubyByZWFsIHJldHJpZXZhbCBzeXN0ZW0gaGFzIGFjY2VzcyB0byBhdCBpbmZlcmVuY2UgdGltZSwgbmFtZWx5IHRoZSBncm91bmQtdHJ1dGggYWN0aXZpdHkgY29kZXMgb2YgdGhlIHF1ZXJ5LCBzbyBpdHMgc2NvcmVzIHJlcHJlc2VudCB0aGUgYmVzdCBjb3ZlcmFnZSBhY2hpZXZhYmxlIGJ5IGFueSByZXRyaWV2YWwgbWV0aG9kIHRoYXQgcmFua3MgaW5kZXggY2hlbWljYWxzIG9uIGFjdGl2aXR5LWNvZGUgc2ltaWxhcml0eS5aDDJ6dGduZGNodjVlNnICIAB4AJoBBggAEAAYAKoBExIRdW5jbGVhciByZWxldmFuY3mwAQC4AQDIAQAY5IKZ+4Q0IOSCmfuENDAAQhBraXguYzRkcmlpeWs0NTFwItEDCgtBQUFDR05raTRRMBKfAwoLQUFBQ0dOa2k0UTASC0FBQUNHTmtpNFEwGhQKCXRleHQvaHRtbBIHY2xhcmlmeSIVCgp0ZXh0L3BsYWluEgdjbGFyaWZ5KhsiFTEwMzQyODY2NDg5MDM5NzkyNDUyMygAOAAwjIGQ7oQ0OIyBkO6ENEr4AQoKdGV4dC9wbGFpbhLpAW1lYXN1cmVzIHRoZSBJREYtd2VpZ2h0ZWQgZnJhY3Rpb24gb2YgYSBxdWVyeSBjaGVtaWNhbOKAmXMgdGVzdC1zcGxpdCBhY3Rpdml0eSBjb2RlcyByZWNvdmVyZWQgYnkgdGhlIHRvcC1rIHJlY29tbWVuZGVkIGNvZGVzLCB3aGVyZSBJREYoYykgPSBsb2cofEN8IC8gfHtxJyDiiIggQyA6IGMg4oiIIEFfe3EnfX18KSBkb3dud2VpZ2h0cyBjb2RlcyB0aGF0IGFwcGVhciBhY3Jvc3MgbWFueSBjaGVtaWNhbHMuWgxmdjM0dzQxM2JqaXJyAiAAeACaAQYIABAAGACqAQkSB2NsYXJpZnmwAQC4AQDIAQAYjIGQ7oQ0IIyBkO6ENDAAQhBraXgub2w0ajRiZjc1b3g1IqECCgtBQUFDR09kUzBXVRLvAQoLQUFBQ0dPZFMwV1USC0FBQUNHT2RTMFdVGiIKCXRleHQvaHRtbBIVaG93IGlzIHRoaXMgcG9zc2libGU/IiMKCnRleHQvcGxhaW4SFWhvdyBpcyB0aGlzIHBvc3NpYmxlPyobIhUxMDM0Mjg2NjQ4OTAzOTc5MjQ1MjMoADgAMIWSq/uENDiFkqv7hDRKHwoKdGV4dC9wbGFpbhIRYSBuZWdhdGl2ZSBlZmZlY3RaDDJsZGc2cWg5eDFhOHICIAB4AJoBBggAEAAYAKoBFxIVaG93IGlzIHRoaXMgcG9zc2libGU/sAEAuAEAyAEAGIWSq/uENCCFkqv7hDQwAEIQa2l4LjljNmZ4aGQwb2NoZyKQBwoLQUFBQ0dPVFRTTzgS3gYKC0FBQUNHT1RUU084EgtBQUFDR09UVFNPOBpKCgl0ZXh0L2h0bWwSPVdoYXQmIzM5O3MgdGhlIHRha2Vhd2F5IG1lc3NhZ2UgZnJvbSB0aGlzIGZpZ3VyZSBhbmQgcmVzdWx0cz8iRwoKdGV4dC9wbGFpbhI5V2hhdCdzIHRoZSB0YWtlYXdheSBtZXNzYWdlIGZyb20gdGhpcyBmaWd1cmUgYW5kIHJlc3VsdHM/KhsiFTEwMzQyODY2NDg5MDM5NzkyNDUyMygAOAAwn5X+/IQ0ONa7gf2ENELJAgoLQUFBQ0dPVFRTUEkSC0FBQUNHT1RUU084GksKCXRleHQvaHRtbBI+Y2FuIHdlIG9mZmVyIG1vcmUgZ3JhbnVsYXJpdHkgb3V0IG9mIHRoZXNlIDYgY2hlbWljYWwgY2xhc3Nlcz8iTAoKdGV4dC9wbGFpbhI+Y2FuIHdlIG9mZmVyIG1vcmUgZ3JhbnVsYXJpdHkgb3V0IG9mIHRoZXNlIDYgY2hlbWljYWwgY2xhc3Nlcz8qGyIVMTAzNDI4NjY0ODkwMzk3OTI0NTIzKAA4ADDWu4H9hDQ41ruB/YQ0Wgw0d2s1djBldjVtN3dyAiAAeACaAQYIABAAGACqAUASPmNhbiB3ZSBvZmZlciBtb3JlIGdyYW51bGFyaXR5IG91dCBvZiB0aGVzZSA2IGNoZW1pY2FsIGNsYXNzZXM/sAEAuAEAyAEASs0BCgp0ZXh0L3BsYWluEr4BRmlndXJlIDcuIHQtU05FIHByb2plY3Rpb24gb2YgdGhlIGh5YnJpZCBlbWJlZGRpbmcgc3BhY2UgY29sb3JlZCBieSBmdW5jdGlvbmFsIGNoZW1pY2FsIGNsYXNzIChWT0MsIGhlYXZ5IG1ldGFsLCBkaW94aW4sIHNvbHZlbnQsIGFjaWQsIG90aGVyKS4gU2ltaWxhciBmdW5jdGlvbmFsIG9yZ2FuaXphdGlvbiB0byBNb2xEZUJFUlRhLloMajY0M24weDRnZGQ1cgIgAHgAmgEGCAAQABgAqgE/Ej1XaGF0JiMzOTtzIHRoZSB0YWtlYXdheSBtZXNzYWdlIGZyb20gdGhpcyBmaWd1cmUgYW5kIHJlc3VsdHM/sAEAuAEAyAEAGJ+V/vyENCDWu4H9hDQwAEIQa2l4Lno4bHRxdHZ4Z2dzNSLMBQoLQUFBQ0ZISkdZQlkSmwUKC0FBQUNGSEpHWUJZEgtBQUFDRkhKR1lCWRo1Cgl0ZXh0L2h0bWwSKHVuY2xlYXIgb3V0Y29tZSByZWxhdGVkIHRvIHRoZSBFbWJlZGRpbmciNgoKdGV4dC9wbGFpbhIodW5jbGVhciBvdXRjb21lIHJlbGF0ZWQgdG8gdGhlIEVtYmVkZGluZyobIhUxMDM0Mjg2NjQ4OTAzOTc5MjQ1MjMoADgAMJ3Cwv6ENDidwsL+hDRKkQMKCnRleHQvcGxhaW4SggNUYWJsZSA2LiBTZWN0b3JDb3ZlcmFnZUAxMCBhdCBOQUlDUyBoaWVyYXJjaHkgbGV2ZWxzIDIsIDMsIDQsIGFuZCA2IGRpZ2l0cy4gSGlnaGVyIHZhbHVlcyBpbmRpY2F0ZSBiZXR0ZXIgc2VjdG9yLWNvbmRpdGlvbmVkIGFjdGl2aXR5IHJlY292ZXJ5LgpFbWJlZGRpbmcKMi1kaWdpdCAoU2VjdG9yKQozLWRpZ2l0IChTdWJzZWN0b3IpCjQtZGlnaXQgKEluZC4gR3JvdXApCjYtZGlnaXQgKE5hdGlvbmFsKQpNb3JnYW4gRmluZ2VycHJpbnQKMC41MzE5CjAuNDA5MgowLjI2OTkKMC4xOTI1Ck1vbERlQkVSVGEKMC40MDk1CjAuMjU2NAowLjEzNTIKMC4xMDA0Ckh5YnJpZAowLjU0MTEKMC40MzgzCjAuMzM3MAowLjI1OTgKUmFuZG9tCjAuNjAxMwowLjM3NDgKMC4xOTM2CjAuMTE1NVoMczcwdWFpNXl4dXQ5cgIgAHgAmgEGCAAQABgAqgEqEih1bmNsZWFyIG91dGNvbWUgcmVsYXRlZCB0byB0aGUgRW1iZWRkaW5nsAEAuAEAyAEAGJ3Cwv6ENCCdwsL+hDQwAEIPa2l4LmpzZHplOXFicmRuIpAJCgtBQUFDR09UUEF5MBLeCAoLQUFBQ0dPVFBBeTASC0FBQUNHT1RQQXkwGqsBCgl0ZXh0L2h0bWwSnQFDbGFyaWZ5IGFuZCBzaW1wbGlmeS4gVGhpcyBjb250ZXh0dWFsIGV4cGxhbmF0aW9uIG9yIGRlc2NyaXB0aW9uIHNob3VsZCBiZSB0aGUgc3RhbmRhcmQgd2F5IHRvIGV4cGxhaW4gdGhlIHdvcmsgY29udGVudCAobWV0aG9kKSwgYXBwbGljYWJpbGl0eSwgYW5kIHJlc3VsdHMuIqwBCgp0ZXh0L3BsYWluEp0BQ2xhcmlmeSBhbmQgc2ltcGxpZnkuIFRoaXMgY29udGV4dHVhbCBleHBsYW5hdGlvbiBvciBkZXNjcmlwdGlvbiBzaG91bGQgYmUgdGhlIHN0YW5kYXJkIHdheSB0byBleHBsYWluIHRoZSB3b3JrIGNvbnRlbnQgKG1ldGhvZCksIGFwcGxpY2FiaWxpdHksIGFuZCByZXN1bHRzLiobIhUxMDM0Mjg2NjQ4OTAzOTc5MjQ1MjMoADgAMLTWsf2ENDi01rH9hDRK7wMKCnRleHQvcGxhaW4S4ANJbiBlbnZpcm9ubWVudGFsIGVuZ2luZWVyaW5nIHRlcm1zLCBXZWlnaHRlZENvdmVyYWdlQDEwIHdlaWdocyBtb3JlIGhlYXZpbHkgdGhvc2Ugc291cmNlIHJlZHVjdGlvbiBjb2RlcyB0aGF0IGFyZSByYXJlbHkgcmVwb3J0ZWQsIGFuZCB0aGVyZWZvcmUgdGhhdCBhcmUgbW9zdCBpbmZvcm1hdGl2ZSBmb3IgcHJhY3RpdGlvbmVycywgc2luY2UgYSBoaWdoZXIgc2NvcmUgaW1wbGllcyB0aGF0IHRoZSByZWNvbW1lbmRlciBpcyByZWNvdmVyaW5nIHNwZWNpZmljLCBub24tdHJpdmlhbCBpbnRlcnZlbnRpb25zIChlLmcuLCBmZWVkc3RvY2sgc3Vic3RpdHV0aW9uLCBlcXVpcG1lbnQgcmVkZXNpZ24pIHJhdGhlciB0aGFuIGdlbmVyaWMgb3BlcmF0aW9uYWwgcHJhY3RpY2VzIHdob3NlIG1hcmdpbmFsIHBvbGx1dGlvbiBwcmV2ZW50aW9uIHZhbHVlIGlzIGxvdyB3aGVuIHRoZXkgYXJlIGFscmVhZHkgYWRvcHRlZCBhY3Jvc3MgdGhlIHNlY3Rvci5aDGtxbnNndHhndWM2Z3ICIAB4AJoBBggAEAAYAKoBoAESnQFDbGFyaWZ5IGFuZCBzaW1wbGlmeS4gVGhpcyBjb250ZXh0dWFsIGV4cGxhbmF0aW9uIG9yIGRlc2NyaXB0aW9uIHNob3VsZCBiZSB0aGUgc3RhbmRhcmQgd2F5IHRvIGV4cGxhaW4gdGhlIHdvcmsgY29udGVudCAobWV0aG9kKSwgYXBwbGljYWJpbGl0eSwgYW5kIHJlc3VsdHMusAEAuAEAyAEAGLTWsf2ENCC01rH9hDQwAEIQa2l4Lm16c3kyenVkNTI5aiKZAgoLQUFBQ0dPZFMwV1ES5wEKC0FBQUNHT2RTMFdREgtBQUFDR09kUzBXURojCgl0ZXh0L2h0bWwSFmVtaXNzaW9ucyBvciByZWxlYXNlcz8iJAoKdGV4dC9wbGFpbhIWZW1pc3Npb25zIG9yIHJlbGVhc2VzPyobIhUxMDM0Mjg2NjQ4OTAzOTc5MjQ1MjMoADgAMIGVqfuENDiBlan7hDRKFAoKdGV4dC9wbGFpbhIGb3V0cHV0WgxqOXp3d2Q5dnBldWJyAiAAeACaAQYIABAAGACqARgSFmVtaXNzaW9ucyBvciByZWxlYXNlcz+wAQC4AQDIAQAYgZWp+4Q0IIGVqfuENDAAQhBraXgudHdueGE5c3Q1eGV0IosDCgtBQUFDR05mMkVGOBLgAgoLQUFBQ0dOZjJFRjgSC0FBQUNHTmYyRUY4GjgKCXRleHQvaHRtbBIrQ2xhcmlmeSBhbmQgcHJvdmlkZSBzb21lIGNvbnRleHQgb3IgZXhhbXBsZSI5Cgp0ZXh0L3BsYWluEitDbGFyaWZ5IGFuZCBwcm92aWRlIHNvbWUgY29udGV4dCBvciBleGFtcGxlKjsKAk1lGjUvL3NzbC5nc3RhdGljLmNvbS9kb2NzL2NvbW1vbi9ibHVlX3NpbGhvdWV0dGU5Ni0wLnBuZzDg34aCgDQ44N+GgoA0cj0KAk1lGjcKNS8vc3NsLmdzdGF0aWMuY29tL2RvY3MvY29tbW9uL2JsdWVfc2lsaG91ZXR0ZTk2LTAucG5neACIAQGaAQYIABAAGACqAS0SK0NsYXJpZnkgYW5kIHByb3ZpZGUgc29tZSBjb250ZXh0IG9yIGV4YW1wbGWwAQC4AQHIAQAY4N+GgoA0IODfhoKANDAAQglraXguY210MTYi2AkKC0FBQUNHT1RQQXk4EqYJCgtBQUFDR09UUEF5OBILQUFBQ0dPVFBBeTgabgoJdGV4dC9odG1sEmFXaGF0JiMzOTtzIHRoZSB0YWtlYXdheSBtZXNzYWdlIGZyb20gdGhlc2UgdGFibGVzIGFuZCB0aGUgcmVzdWx0cyBzdXBwb3J0aW5nIHRoZSB3b3JrJiMzOTtzIGdvYWw/ImcKCnRleHQvcGxhaW4SWVdoYXQncyB0aGUgdGFrZWF3YXkgbWVzc2FnZSBmcm9tIHRoZXNlIHRhYmxlcyBhbmQgdGhlIHJlc3VsdHMgc3VwcG9ydGluZyB0aGUgd29yaydzIGdvYWw/KhsiFTEwMzQyODY2NDg5MDM5NzkyNDUyMygAOAAwt5q8/YQ0OMvPwf2ENEr5BQoKdGV4dC9wbGFpbhLqBVRhYmxlIDMuIFJldHJpZXZhbCBxdWFsaXR5IGFnYWluc3Qgc3RydWN0dXJhbCBhbmNob3IgKFRhbmltb3RvKS4gbkRDRyA9IG5vcm1hbGl6ZWQgRGlzY291bnRlZCBDdW11bGF0aXZlIEdhaW47IE1SUiA9IE1lYW4gUmVjaXByb2NhbCBSYW5rLiBBbGwgcGFpcndpc2UgZGlmZmVyZW5jZXMgYXJlIHNpZ25pZmljYW50IChXaWxjb3hvbiBwIDwgMC4wMDEpLgpFbWJlZGRpbmcKbiBxdWVyaWVzCm5EQ0dANQpuRENHQDEwCm5EQ0dAMjAKUmVjYWxsQDEwCk1SUgpNb3JnYW4gRmluZ2VycHJpbnQKMzk0CjAuNjEyNAowLjYxMjQKMC42MTI0CjAuMTA2NgowLjEwNjYKTW9sRGVCRVJUYQozOTQKMC4xMDk4CjAuMTIxNAowLjEzNjcKMC4wMjI4CjAuMDE3NApIeWJyaWQKMzk0CjAuNDY1NQowLjQ3ODQKMC40OTI3CjAuMTA0MQowLjA5ODgKClRhYmxlIDQuIFJldHJpZXZhbCBxdWFsaXR5IGFnYWluc3Qgb3BlcmF0aW9uYWwgYW5jaG9yIChKYWNjYXJkKS4gSHlicmlkIGFjaGlldmVzIHRoZSBoaWdoZXN0IG9wZXJhdGlvbmFsIG5EQ0dAMTAgKDAuMjEzKS4KRW1iZWRkaW5nCm4gcXVlcmllcwpuRENHQDUKbkRDR0AxMApuRENHQDIwClJlY2FsbEAxMApNUlIKTW9yZ2FuIEZpbmdlcnByaW50CjE5NQowLjE4MTAKMC4xNjk4CjAuMTYxNgowLjAxNTQKMC4wMTE5Ck1vbERlQkVSVGEKMTk1CjAuMDk3NAowLjA5MTkKMC4wODcxCjAuMDAwMAowLjAwMDAKSHlicmlkCjE5NQowLjI0MTQKMC4yMTMxCjAuMTkyMAowLjAyNTYKMC4wMjEyWgw0NnNzZmduMHcxb2pyAiAAeACaAQYIABAAGACqAWMSYVdoYXQmIzM5O3MgdGhlIHRha2Vhd2F5IG1lc3NhZ2UgZnJvbSB0aGVzZSB0YWJsZXMgYW5kIHRoZSByZXN1bHRzIHN1cHBvcnRpbmcgdGhlIHdvcmsmIzM5O3MgZ29hbD+wAQC4AQDIAQAYt5q8/YQ0IMvPwf2ENDAAQhBraXguYmIyemcwbmg5bWljIrgCCgtBQUFDR09kUzBXWRKGAgoLQUFBQ0dPZFMwV1kSC0FBQUNHT2RTMFdZGhQKCXRleHQvaHRtbBIHdW5jbGVhciIVCgp0ZXh0L3BsYWluEgd1bmNsZWFyKhsiFTEwMzQyODY2NDg5MDM5NzkyNDUyMygAOAAwvauy+4Q0OL2rsvuENEpgCgp0ZXh0L3BsYWluElJjb250aW51ZWQgYXZvaWRhYmxlIGVtaXNzaW9ucywgYW5kIGFuIGVmZmVjdGl2ZWx5IGlycmV2ZXJzaWJsZSBlbnZpcm9ubWVudGFsIGNvc3QuWgw3OWNucjdvdnhkbTFyAiAAeACaAQYIABAAGACqAQkSB3VuY2xlYXKwAQC4AQDIAQAYvauy+4Q0IL2rsvuENDAAQhBraXgudnlxbjNxMjhmNTZiIuACCgtBQUFDR05mMkVHNBK2AgoLQUFBQ0dOZjJFRzQSC0FBQUNHTmYyRUc0GioKCXRleHQvaHRtbBIdTmVlZHMgcHJhY3RpY2FsIGNsYXJpZmljYXRpb24iKwoKdGV4dC9wbGFpbhIdTmVlZHMgcHJhY3RpY2FsIGNsYXJpZmljYXRpb24qOwoCTWUaNS8vc3NsLmdzdGF0aWMuY29tL2RvY3MvY29tbW9uL2JsdWVfc2lsaG91ZXR0ZTk2LTAucG5nMMCz5dH8MzjAs+XR/DNyPQoCTWUaNwo1Ly9zc2wuZ3N0YXRpYy5jb20vZG9jcy9jb21tb24vYmx1ZV9zaWxob3VldHRlOTYtMC5wbmd4AIgBAZoBBggAEAAYAKoBHxIdTmVlZHMgcHJhY3RpY2FsIGNsYXJpZmljYXRpb26wAQC4AQHIAQAYwLPl0fwzIMCz5dH8MzAAQghraXguY210NSLTAgoLQUFBQ0dPZFMwV0USoQIKC0FBQUNHT2RTMFdFEgtBQUFDR09kUzBXRRorCgl0ZXh0L2h0bWwSHmV4cGxhaW4gcmVsZXZhbmN5IHRvIG1haW4gZ29hbCIsCgp0ZXh0L3BsYWluEh5leHBsYWluIHJlbGV2YW5jeSB0byBtYWluIGdvYWwqGyIVMTAzNDI4NjY0ODkwMzk3OTI0NTIzKAA4ADDjsKT7hDQ447Ck+4Q0SjYKCnRleHQvcGxhaW4SKEVuZC10by1lbmQgZ2VuZXJhdGlvbiBxdWFsaXR5IGFzc2Vzc21lbnRaDHczanM3MHA5ZWZqZnICIAB4AJoBBggAEAAYAKoBIBIeZXhwbGFpbiByZWxldmFuY3kgdG8gbWFpbiBnb2FssAEAuAEAyAEAGOOwpPuENCDjsKT7hDQwAEIQa2l4LmV3OHZtaWY0ZTJobyLzAgoLQUFBQ0dOZjJFRzASyAIKC0FBQUNHTmYyRUcwEgtBQUFDR05mMkVHMBowCgl0ZXh0L2h0bWwSI0V4cGxhaW4gd2h5IHlvdSBuZWVkIHRvIGNvbnNpZGVyIGl0IjEKCnRleHQvcGxhaW4SI0V4cGxhaW4gd2h5IHlvdSBuZWVkIHRvIGNvbnNpZGVyIGl0KjsKAk1lGjUvL3NzbC5nc3RhdGljLmNvbS9kb2NzL2NvbW1vbi9ibHVlX3NpbGhvdWV0dGU5Ni0wLnBuZzDQwIuJgDQ40MCLiYA0cj0KAk1lGjcKNS8vc3NsLmdzdGF0aWMuY29tL2RvY3MvY29tbW9uL2JsdWVfc2lsaG91ZXR0ZTk2LTAucG5neACIAQGaAQYIABAAGACqASUSI0V4cGxhaW4gd2h5IHlvdSBuZWVkIHRvIGNvbnNpZGVyIGl0sAEAuAEByAEAGNDAi4mANCDQwIuJgDQwAEIJa2l4LmNtdDIyIt4BCgtBQUFDR05raTRROBKsAQoLQUFBQ0dOa2k0UTgSC0FBQUNHTmtpNFE4GhEKCXRleHQvaHRtbBIENDc0PyISCgp0ZXh0L3BsYWluEgQ0NzQ/KhsiFTEwMzQyODY2NDg5MDM5NzkyNDUyMygAOAAwrZmV7oQ0OK2Zle6ENEoPCgp0ZXh0L3BsYWluEgFrWgxjZnJuNG50djE3d2VyAiAAeACaAQYIABAAGACqAQYSBDQ3ND+wAQC4AQDIAQAYrZmV7oQ0IK2Zle6ENDAAQhBraXgucHlkaTNmcm5xaThzIvEECgtBQUFDR09UVFNPMBK/BAoLQUFBQ0dPVFRTTzASC0FBQUNHT1RUU08wGkoKCXRleHQvaHRtbBI9V2hhdCYjMzk7cyB0aGUgdGFrZWF3YXkgbWVzc2FnZSBmcm9tIHRoaXMgZmlndXJlIGFuZCByZXN1bHRzPyJHCgp0ZXh0L3BsYWluEjlXaGF0J3MgdGhlIHRha2Vhd2F5IG1lc3NhZ2UgZnJvbSB0aGlzIGZpZ3VyZSBhbmQgcmVzdWx0cz8qGyIVMTAzNDI4NjY0ODkwMzk3OTI0NTIzKAA4ADDg2/v8hDQ44Nv7/IQ0SvoBCgp0ZXh0L3BsYWluEusBRmlndXJlIDYuIHQtU05FIHByb2plY3Rpb24gb2YgdGhlIE1vbERlQkVSVGEgZW1iZWRkaW5nIHNwYWNlIGNvbG9yZWQgYnkgZnVuY3Rpb25hbCBjaGVtaWNhbCBjbGFzcyAoVk9DLCBoZWF2eSBtZXRhbCwgZGlveGluLCBzb2x2ZW50LCBhY2lkLCBvciBvdGhlcikuIFRoZSBzcGFjZSBleGhpYml0cyBtb3JlIGZ1bmN0aW9uYWwgb3JnYW5pemF0aW9uIGNvbXBhcmVkIHRvIHRoZSBNb3JnYW4gZmluZ2VycHJpbnRzLloMNjB0MDZpOXRzMXQ1cgIgAHgAmgEGCAAQABgAqgE/Ej1XaGF0JiMzOTtzIHRoZSB0YWtlYXdheSBtZXNzYWdlIGZyb20gdGhpcyBmaWd1cmUgYW5kIHJlc3VsdHM/sAEAuAEAyAEAGODb+/yENCDg2/v8hDQwAEIQa2l4LnJ6MDB4cHJoeDZzdCLJAwoLQUFBQ0dOa2k0UTQSlwMKC0FBQUNHTmtpNFE0EgtBQUFDR05raTRRNBoUCgl0ZXh0L2h0bWwSB2NsYXJpZnkiFQoKdGV4dC9wbGFpbhIHY2xhcmlmeSobIhUxMDM0Mjg2NjQ4OTAzOTc5MjQ1MjMoADgAMPOLk+6ENDjzi5PuhDRK8QEKCnRleHQvcGxhaW4S4gFOQUlDUyBzZWN0b3IgY28tb2NjdXJyZW5jZTogZ3JhZGUtMiAoSmFjY2FyZCDiiaUwLjcgQU5EIOKJpTMgc2hhcmVkIDYtZGlnaXQgTkFJQ1PigJNhY3Rpdml0eSBjb21iaW5hdGlvbnM7IG4gPSA1KSwgZ3JhZGUtMSAoSmFjY2FyZCDiiaUwLjMgT1Ig4omlMSBOQUlDUyBjby1vY2N1cnJlbmNlOyBuID0gMyw2MjcpLCBhbmQgZ3JhZGUtMCAobm8gYWN0aXZpdHkgb3ZlcmxhcDsgbiA9IDIxLDU2OCkuWgtyN2doajgzeHR2bHICIAB4AJoBBggAEAAYAKoBCRIHY2xhcmlmebABALgBAMgBABjzi5PuhDQg84uT7oQ0MABCEGtpeC45M3pnNnRoYWFxYzkimgIKC0FBQUNHT2RTMFdJEugBCgtBQUFDR09kUzBXSRILQUFBQ0dPZFMwV0kaFAoJdGV4dC9odG1sEgd1bmNsZWFyIhUKCnRleHQvcGxhaW4SB3VuY2xlYXIqGyIVMTAzNDI4NjY0ODkwMzk3OTI0NTIzKAA4ADCr56b7hDQ4q+em+4Q0SkIKCnRleHQvcGxhaW4SNHRoZSByZWxldmFudCBjb3N0IGFzeW1tZXRyeSBoYXMgdG8gYmUgbWFkZSBleHBsaWNpdC5aDHFtanhvYnV5eGdyZXICIAB4AJoBBggAEAAYAKoBCRIHdW5jbGVhcrABALgBAMgBABir56b7hDQgq+em+4Q0MABCEGtpeC5oZmV2aXlvMHBwdTcimAoKC0FBQUNHTnB1Z3I0EugJCgtBQUFDR05wdWdyNBILQUFBQ0dOcHVncjQaaQoJdGV4dC9odG1sElxXaGF0JiMzOTtzIHRoZSB0YWtlYXdheSBtZXNzYWdlIGZyb20gVGFibGUgNyBhbmQgdGhlIHJlc3VsdHMgc3VwcG9ydGluZyB0aGUgd29yayYjMzk7cyBnb2FsPyJiCgp0ZXh0L3BsYWluElRXaGF0J3MgdGhlIHRha2Vhd2F5IG1lc3NhZ2UgZnJvbSBUYWJsZSA3IGFuZCB0aGUgcmVzdWx0cyBzdXBwb3J0aW5nIHRoZSB3b3JrJ3MgZ29hbD8qGyIVMTAzNDI4NjY0ODkwMzk3OTI0NTIzKAA4ADCZ87X/hDQ4mfO1/4Q0StMGCgp0ZXh0L3BsYWluEsQGVGFibGUgNyBwcmVzZW50cyB0aGUgdXBkYXRlZCBSQUdBUyBldmFsdWF0aW9uLCBydW4gb24gbiA9IDggcXVlcnkgY2hlbWljYWxzIHBlciBjb25kaXRpb24gd2l0aCBhIGNsb3VkLWhvc3RlZCBHUFQtNC1jbGFzcyBqdWRnZSB0aGF0IHJlc29sdmVzIGFsbCB0aHJlZSBtZXRyaWNzIHJlbGlhYmx5LiBUaGUgZmxhdC1SQUcgYWJsYXRpb24gc2NvcmVzIDAuMDAwIG9uIGJvdGggY29udGV4dCBwcmVjaXNpb24gYW5kIGNvbnRleHQgcmVjYWxsIHdoaWxlIGV2ZXJ5IEdyYXBoUkFHIGVtYmVkZGluZyBzY29yZXMgc3RyaWN0bHkgYWJvdmUgemVybyBvbiBib3RoLCBjb25maXJtaW5nIHRoZSBpbnRlbmRlZCAiZ3JhcGggY29udGV4dCBoZWxwcyIgc2lnbmFsLCBhcyByZW1vdmluZyBtdWx0aS1ob3AgZ3JhcGggdHJhdmVyc2FsIGZyb20gdGhlIHBpcGVsaW5lIGNvbGxhcHNlcyB0aGUgc3lzdGVtJ3MgYWJpbGl0eSB0byBzdXJmYWNlLCBhbmQgcmFuaywgcmVsZXZhbnQgVFJJIGV2aWRlbmNlLiBBY3Jvc3MgdGhlIEdyYXBoUkFHIGNvbmRpdGlvbnMsIE1vcmdhbiBmaW5nZXJwcmludHMgYWNoaWV2ZSB0aGUgaGlnaGVzdCBjb250ZXh0IHByZWNpc2lvbiAoMC40Mzc1KSwgTW9sRGVCRVJUYSB0aGUgaGlnaGVzdCBmYWl0aGZ1bG5lc3MgKDAuNzM0KSwgYW5kIEh5YnJpZCBlbWJlZGRpbmdzIHRoZSBoaWdoZXN0IGNvbnRleHQgcmVjYWxsICgwLjUwMCksIHRoZSBtZXRyaWMgcHJvZmlsZSB0aGF0IGJlc3QgZml0cyBhIHNjcmVlbmluZyB0b29sIHdob3NlIHByaW5jaXBhbCBjb3N0IGlzIG1pc3NpbmcgYSB2aWFibGUgc291cmNlIHJlZHVjdGlvbiBvcHRpb24gKFNlY3Rpb24gMy40KS5aDDlzaHM2aDNtdzNldHICIAB4AJoBBggAEAAYAKoBXhJcV2hhdCYjMzk7cyB0aGUgdGFrZWF3YXkgbWVzc2FnZSBmcm9tIFRhYmxlIDcgYW5kIHRoZSByZXN1bHRzIHN1cHBvcnRpbmcgdGhlIHdvcmsmIzM5O3MgZ29hbD8YmfO1/4Q0IJnztf+ENEIQa2l4Lm03b3BxcDZydWUwOCLUBQoLQUFBQ0dPZFMwV3cSogUKC0FBQUNHT2RTMFd3EgtBQUFDR09kUzBXdxpzCgl0ZXh0L2h0bWwSZm5lZWQgdG8gc2ltcGxpZnkgbGFuZ3VhZ2UgdG8gZXhwbGFpbiB0aGF0IHNldmVyYWwgY2hlbWljYWxzwqBzaGFyZSBzb3VyY2UgcmVkdWN0aW9uIGFjdGl2aXRpZXMvbWV0aG9kcyJ0Cgp0ZXh0L3BsYWluEmZuZWVkIHRvIHNpbXBsaWZ5IGxhbmd1YWdlIHRvIGV4cGxhaW4gdGhhdCBzZXZlcmFsIGNoZW1pY2Fsc8Kgc2hhcmUgc291cmNlIHJlZHVjdGlvbiBhY3Rpdml0aWVzL21ldGhvZHMqGyIVMTAzNDI4NjY0ODkwMzk3OTI0NTIzKAA4ADCoksf7hDQ4qJLH+4Q0St4BCgp0ZXh0L3BsYWluEs8BVGhlIG9wZXJhdGlvbmFsIHNpbWlsYXJpdHkgZGlzdHJpYnV0aW9uIChGaWd1cmUgNCkgbWlycm9ycyB0aGlzIHNwYXJzaXR5LCBhcyA4NS42JSBvZiBjaGVtaWNhbCBwYWlycyBoYXZlIG5vIHNoYXJlZCBzb3VyY2UgcmVkdWN0aW9uIGFjdGl2aXR5IGNvZGVzLCB3aXRoIG9ubHkgNSBwYWlycyBtZWV0aW5nIHRoZSBzdHJpbmdlbnQgZ3JhZGUtMiB0aHJlc2hvbGQuWgxzcjc3YXRya2JuZWlyAiAAeACaAQYIABAAGACqAWgSZm5lZWQgdG8gc2ltcGxpZnkgbGFuZ3VhZ2UgdG8gZXhwbGFpbiB0aGF0IHNldmVyYWwgY2hlbWljYWxzwqBzaGFyZSBzb3VyY2UgcmVkdWN0aW9uIGFjdGl2aXRpZXMvbWV0aG9kc7ABALgBAMgBABioksf7hDQgqJLH+4Q0MABCEGtpeC4yam45enNhbG01M3ci0QoKC0FBQUNHTnB1Z3I4EqEKCgtBQUFDR05wdWdyOBILQUFBQ0dOcHVncjgaQwoJdGV4dC9odG1sEjZkaWx1dGVkIG91dGNvbWVzwqBhbmQgcmVsZXZhbmN5IHRvIHRoZSB3b3JrJiMzOTtzIGdvYWwiQAoKdGV4dC9wbGFpbhIyZGlsdXRlZCBvdXRjb21lc8KgYW5kIHJlbGV2YW5jeSB0byB0aGUgd29yaydzIGdvYWwqGyIVMTAzNDI4NjY0ODkwMzk3OTI0NTIzKAA4ADCWyt3/hDQ4lsrd/4Q0SvoHCgp0ZXh0L3BsYWluEusHTWFwcGluZyB0aGVzZSBzY29yZXMgYmFjayB0byB0aGUgZGVjaXNpb24gZnJhbWV3b3JrLCBjb250ZXh0IHByZWNpc2lvbiBwZW5hbGl6ZXMgZmFsc2UgcG9zaXRpdmVzIChUeXBlIEkgZXJyb3JzLCByZWNvbW1lbmRpbmcgYW4gYWN0aXZpdHkgdGhhdCBkb2VzIG5vdCBhcHBseSksIGNvbnRleHQgcmVjYWxsIHBlbmFsaXplcyBmYWxzZSBuZWdhdGl2ZXMgKFR5cGUgSUkgZXJyb3JzLCBtaXNzaW5nIGFuIGFjdGl2aXR5IHRoYXQgd291bGQgaGF2ZSB3b3JrZWQpLCBhbmQgZmFpdGhmdWxuZXNzIGd1YXJkcyBhIGRpc3RpbmN0IGZhaWx1cmUgbW9kZSBpbiB3aGljaCB0aGUgZ2VuZXJhdG9yIGludmVudHMgYSByZWNvbW1lbmRhdGlvbiBub3QgcHJlc2VudCBpbiB0aGUgcmV0cmlldmVkIGdyYXBoIGV2aWRlbmNlLiBGb3Igc291cmNlIHJlZHVjdGlvbiBzY3JlZW5pbmcsIHRoZSBkb21pbmFudCBjb3N0IGlzIHRoZSBUeXBlIElJIGVycm9yLCBiZWNhdXNlIGEgZm9yZ29uZSBwcmV2ZW50aW9uIG9wcG9ydHVuaXR5IHRyYW5zbGF0ZXMgaW50byBjb250aW51ZWQsIGF2b2lkYWJsZSwgb2Z0ZW4gaXJyZXZlcnNpYmxlIHJlbGVhc2VzIGF0IHRoZSBmYWNpbGl0eSwgYW4gZW52aXJvbm1lbnRhbCBjb3N0IHRoYXQgaXMgYXN5bW1ldHJpYyB3aXRoIHRoZSBlbmdpbmVlcmluZyByZXZpZXcgY29zdCBvZiBhIGZhbHNlIHBvc2l0aXZlLiBIeWJyaWQgZW1iZWRkaW5ncywgd2l0aCB0aGUgaGlnaGVzdCBjb250ZXh0IHJlY2FsbCBhbmQgdGhlIGJyb2FkZXN0IGNvdmVyYWdlIGFjcm9zcyBOQUlDUyBkZXB0aHMgKFNlY3Rpb24gNC40KSwgYXJlIHRoZXJlZm9yZSB0aGUgcmVjb21tZW5kZWQgZGVwbG95bWVudCBjb25maWd1cmF0aW9uIGZvciB0aGUgZGlzY292ZXJ5IHVzZSBjYXNlIHRhcmdldGVkIGluIHRoaXMgd29yay4gTW9yZ2FuIGZpbmdlcnByaW50cywgd2l0aCB0aGUgaGlnaGVzdCBwcmVjaXNpb24gYW5kIHN0cm9uZ2VzdCBzdHJ1Y3R1cmFsIGZpZGVsaXR5LCByZW1haeKAploMcXVpYTJ4NWVvYTBmcgIgAHgAmgEGCAAQABgAqgE4EjZkaWx1dGVkIG91dGNvbWVzwqBhbmQgcmVsZXZhbmN5IHRvIHRoZSB3b3JrJiMzOTtzIGdvYWwYlsrd/4Q0IJbK3f+ENEIQa2l4Ljc4aTEzdG5qa3lwaCKeAgoLQUFBQ0dPZFMwV3MS7AEKC0FBQUNHT2RTMFdzEgtBQUFDR09kUzBXcxoiCgl0ZXh0L2h0bWwSFXBhaXIocykgb2YgY2hlbWljYWxzPyIjCgp0ZXh0L3BsYWluEhVwYWlyKHMpIG9mIGNoZW1pY2Fscz8qGyIVMTAzNDI4NjY0ODkwMzk3OTI0NTIzKAA4ADDsyL/7hDQ47Mi/+4Q0ShwKCnRleHQvcGxhaW4SDk9ubHkgMjc1IHBhaXJzWgxvZHY0ang1N2gwN3dyAiAAeACaAQYIABAAGACqARcSFXBhaXIocykgb2YgY2hlbWljYWxzP7ABALgBAMgBABjsyL/7hDQg7Mi/+4Q0MABCEGtpeC51aW84ZW1xOGphNDIi+QEKC0FBQUNHTmtpNFFJEscBCgtBQUFDR05raTRRSRILQUFBQ0dOa2k0UUkaFAoJdGV4dC9odG1sEgdjbGFyaWZ5IhUKCnRleHQvcGxhaW4SB2NsYXJpZnkqGyIVMTAzNDI4NjY0ODkwMzk3OTI0NTIzKAA4ADCGgvDthDQ4hoLw7YQ0SiEKCnRleHQvcGxhaW4SE09wZXJhdGlvbmFsIGFuY2hvcnNaDDlhYWY2OTI0a2ZwNHICIAB4AJoBBggAEAAYAKoBCRIHY2xhcmlmebABALgBAMgBABiGgvDthDQghoLw7YQ0MABCEGtpeC5mYmFueG5pYnF0cHUi+AEKC0FBQUNHTmtpNFFFEsYBCgtBQUFDR05raTRRRRILQUFBQ0dOa2k0UUUaFAoJdGV4dC9odG1sEgdjbGFyaWZ5IhUKCnRleHQvcGxhaW4SB2NsYXJpZnkqGyIVMTAzNDI4NjY0ODkwMzk3OTI0NTIzKAA4ADCvq+/thDQ4r6vv7YQ0SiAKCnRleHQvcGxhaW4SElN0cnVjdHVyYWwgYW5jaG9yc1oMbjB3YjBoaHl0dXd5cgIgAHgAmgEGCAAQABgAqgEJEgdjbGFyaWZ5sAEAuAEAyAEAGK+r7+2ENCCvq+/thDQwAEIQa2l4LnBoNWI3cDN4aHg0aCKfAgoLQUFBQ0dOZjJFR3cS9AEKC0FBQUNHTmYyRUd3EgtBQUFDR05mMkVHdxoUCgl0ZXh0L2h0bWwSB0NsYXJpZnkiFQoKdGV4dC9wbGFpbhIHQ2xhcmlmeSo7CgJNZRo1Ly9zc2wuZ3N0YXRpYy5jb20vZG9jcy9jb21tb24vYmx1ZV9zaWxob3VldHRlOTYtMC5wbmcwwK/cg4A0OMCv3IOANHI9CgJNZRo3CjUvL3NzbC5nc3RhdGljLmNvbS9kb2NzL2NvbW1vbi9ibHVlX3NpbGhvdWV0dGU5Ni0wLnBuZ3gAiAEBmgEGCAAQABgAqgEJEgdDbGFyaWZ5sAEAuAEByAEAGMCv3IOANCDAr9yDgDQwAEIJa2l4LmNtdDIwIq4DCgtBQUFDR05mMkVIdxL8AgoLQUFBQ0dOZjJFSHcSC0FBQUNHTmYyRUh3GlQKCXRleHQvaHRtbBJHaXQgc2hvd3MgNiBzdGVwcyBvciBwaWVjZXMgYW5kIG5lZWRzIGV4cGxhbmF0aW9uLiBidXQgdXNlwqBsZXNzIGphcmdvbi4iVQoKdGV4dC9wbGFpbhJHaXQgc2hvd3MgNiBzdGVwcyBvciBwaWVjZXMgYW5kIG5lZWRzIGV4cGxhbmF0aW9uLiBidXQgdXNlwqBsZXNzIGphcmdvbi4qGyIVMTAzNDI4NjY0ODkwMzk3OTI0NTIzKAA4ADD1tNXshDQ49bTV7IQ0ShYKCnRleHQvcGxhaW4SCEZpZ3VyZSAyWgwzaXd5bHphZXlwMHZyAiAAeACaAQYIABAAGACqAUkSR2l0IHNob3dzIDYgc3RlcHMgb3IgcGllY2VzIGFuZCBuZWVkcyBleHBsYW5hdGlvbi4gYnV0IHVzZcKgbGVzcyBqYXJnb24usAEAuAEAyAEAGPW01eyENCD1tNXshDQwAEIQa2l4LjI1cHk4bjg0ODMzdSLbAgoLQUFBQ0dOZjJFRjQSsAIKC0FBQUNHTmYyRUY0EgtBQUFDR05mMkVGNBooCgl0ZXh0L2h0bWwSG0V4cGxhaW4gYW5kIHByb3ZpZGUgZXhhbXBsZSIpCgp0ZXh0L3BsYWluEhtFeHBsYWluIGFuZCBwcm92aWRlIGV4YW1wbGUqOwoCTWUaNS8vc3NsLmdzdGF0aWMuY29tL2RvY3MvY29tbW9uL2JsdWVfc2lsaG91ZXR0ZTk2LTAucG5nMIjK+4GANDiIyvuBgDRyPQoCTWUaNwo1Ly9zc2wuZ3N0YXRpYy5jb20vZG9jcy9jb21tb24vYmx1ZV9zaWxob3VldHRlOTYtMC5wbmd4AIgBAZoBBggAEAAYAKoBHRIbRXhwbGFpbiBhbmQgcHJvdmlkZSBleGFtcGxlsAEAuAEByAEAGIjK+4GANCCIyvuBgDQwAEIJa2l4LmNtdDE1IqsCCgtBQUFDR05mMkVIcxL1AQoLQUFBQ0dOZjJFSHMSC0FBQUNHTmYyRUhzGg0KCXRleHQvaHRtbBIAIg4KCnRleHQvcGxhaW4SACobIhUxMDM0Mjg2NjQ4OTAzOTc5MjQ1MjMoADgAMKfeueyENDiciLrshDRKUgokYXBwbGljYXRpb24vdm5kLmdvb2dsZS1hcHBzLmRvY3MubWRzGirC19rkASQKIgoTCg13aXRob3V0IHVzaW5nEAEYABIJCgNmb3IQARgAGAFaDDdhNGpvd2IzeDY0YnICIAB4AIIBFHN1Z2dlc3QuNGQ1ZjdhdzFvNnppmgEGCAAQABgAsAEAuAEAyAEAGKfeueyENCCciLrshDQwAEIUc3VnZ2VzdC40ZDVmN2F3MW82emkikQMKC0FBQUNHTmYyRUYwEuYCCgtBQUFDR05mMkVGMBILQUFBQ0dOZjJFRjAaOgoJdGV4dC9odG1sEi1SZXdyaXRlIGZvciBjbGFyaXR5IGFuZCBhdm9pZCBqYXJnb24gbGFuZ3VhZ2UiOwoKdGV4dC9wbGFpbhItUmV3cml0ZSBmb3IgY2xhcml0eSBhbmQgYXZvaWQgamFyZ29uIGxhbmd1YWdlKjsKAk1lGjUvL3NzbC5nc3RhdGljLmNvbS9kb2NzL2NvbW1vbi9ibHVlX3NpbGhvdWV0dGU5Ni0wLnBuZzD4+qGDgDQ4+Pqhg4A0cj0KAk1lGjcKNS8vc3NsLmdzdGF0aWMuY29tL2RvY3MvY29tbW9uL2JsdWVfc2lsaG91ZXR0ZTk2LTAucG5neACIAQGaAQYIABAAGACqAS8SLVJld3JpdGUgZm9yIGNsYXJpdHkgYW5kIGF2b2lkIGphcmdvbiBsYW5ndWFnZbABALgBAcgBABj4+qGDgDQg+Pqhg4A0MABCCWtpeC5jbXQxOCKrBAoLQUFBQ0dPZFMwWEES+QMKC0FBQUNHT2RTMFhBEgtBQUFDR09kUzBYQRpLCgl0ZXh0L2h0bWwSPm5lZWRzIHJld29yZGluZyB0byBkZW1vbnN0cmF0ZSB0aGUgd29yayYjMzk7cyBmaW5kaW5ncyBjbGVhcmx5IkgKCnRleHQvcGxhaW4SOm5lZWRzIHJld29yZGluZyB0byBkZW1vbnN0cmF0ZSB0aGUgd29yaydzIGZpbmRpbmdzIGNsZWFybHkqGyIVMTAzNDI4NjY0ODkwMzk3OTI0NTIzKAA4ADClhNr7hDQ4pYTa+4Q0SrEBCgp0ZXh0L3BsYWluEqIBVGhlc2UgdmlzdWFsIHBhdHRlcm5zIGNvcnJvYm9yYXRlIHRoZSBxdWFudGl0YXRpdmUgZmluZGluZyB0aGF0IE1vbERlQkVSVGEgZW1iZWRkaW5ncyBlbmNvZGUgYSBmb3JtIG9mIGNoZW1pY2FsIHNpbWlsYXJpdHkgbW9yZSBhbGlnbmVkIHdpdGggb3BlcmF0aW9uYWwgYmVoYXZpb3IuWgw4Yzd5c3Vrb25jc3NyAiAAeACaAQYIABAAGACqAUASPm5lZWRzIHJld29yZGluZyB0byBkZW1vbnN0cmF0ZSB0aGUgd29yayYjMzk7cyBmaW5kaW5ncyBjbGVhcmx5sAEAuAEAyAEAGKWE2vuENCClhNr7hDQwAEIQa2l4LjRqZG11enAyZHlyeCLHAgoLQUFBQ0dOZjJFSG8SkQIKC0FBQUNHTmYyRUhvEgtBQUFDR05mMkVIbxoNCgl0ZXh0L2h0bWwSACIOCgp0ZXh0L3BsYWluEgAqGyIVMTAzNDI4NjY0ODkwMzk3OTI0NTIzKAA4ADCssbbshDQ4r8a27IQ0Sm4KJGFwcGxpY2F0aW9uL3ZuZC5nb29nbGUtYXBwcy5kb2NzLm1kcxpGwtfa5AFACj4KEAoKYXQgbm8gY29zdBABGAASKAoiZm9yIHByYWN0aXRpb25lcnMgd2hvIGxhY2sgYnVkZ2V0cxABGAAYAVoMb2RwM3E5NmRjdDVrcgIgAHgAggEUc3VnZ2VzdC5mN2pwYndweHU1bGSaAQYIABAAGACwAQC4AQDIAQAYrLG27IQ0IK/GtuyENDAAQhRzdWdnZXN0LmY3anBid3B4dTVsZCK0CAoLQUFBQ0dPZFMwV28SgggKC0FBQUNHT2RTMFdvEgtBQUFDR09kUzBXbxpECgl0ZXh0L2h0bWwSN25lZWRzIGxhbmd1YWdlIGltcHJvdmVtZW50cyB0byBkZW1vbnN0cmF0ZcKgbWVhbmluZ2xlc3MiRQoKdGV4dC9wbGFpbhI3bmVlZHMgbGFuZ3VhZ2UgaW1wcm92ZW1lbnRzIHRvIGRlbW9uc3RyYXRlwqBtZWFuaW5nbGVzcyobIhUxMDM0Mjg2NjQ4OTAzOTc5MjQ1MjMoADgAMJz9u/uENDic/bv7hDRKywUKCnRleHQvcGxhaW4SvAVJbiBSQUdBUyB0ZXJtcywgY29udGV4dCBwcmVjaXNpb24gbWFwcyB0byBwcmVjaXNpb24gYW5kIHBlbmFsaXplcyBUeXBlIEkgZXJyb3JzLCBjb250ZXh0IHJlY2FsbCBtYXBzIHRvIHJlY2FsbCBhbmQgcGVuYWxpemVzIFR5cGUgSUkgZXJyb3JzLCBhbmQgZmFpdGhmdWxuZXNzIGd1YXJkcyBhIHRoaXJkIGZhaWx1cmUgbW9kZSBpbiB3aGljaCB0aGUgZ2VuZXJhdG9yIGZhYnJpY2F0ZXMgYSByZWNvbW1lbmRhdGlvbiB0aGF0IGlzIG5vdCBwcmVzZW50IGluIHRoZSByZXRyaWV2ZWQgZ3JhcGggZXZpZGVuY2UuIEZvciBhIGRpc2NvdmVyeS1vcmllbnRlZCBzY3JlZW5pbmcgcXVlc3Rpb24gKCJpcyB0aGVyZSBhIHVzZWZ1bCBzb3VyY2UgcmVkdWN0aW9uIGZvciB0aGlzIGNoZW1pY2FsPyIpLCB0aGUgYXBwcm9wcmlhdGUgb3B0aW1pemF0aW9uIHRhcmdldCBpcyByZWNhbGwsIGtlcHQgaG9uZXN0IGJ5IGEgZmFpdGhmdWxuZXNzIGZsb29yIGFuZCB0aGUgZGV0ZXJtaW5pc3RpYyBlbXB0eS1yZWNvcmRzIGd1YXJkIGRlc2NyaWJlZCBpbiBTZWN0aW9uIDIuNC4gV2UgdXNlIHRoaXMgZnJhbWV3b3JrIGV4cGxpY2l0bHkgd2hlbiBpbnRlcnByZXRpbmcgdGhlIGVtYmVkZGluZyByYW5raW5ncyBvZiBTZWN0aW9uIDQuNSBhbmQgd2hlbiByZWNvbW1lbmRpbmcgd2hpY2ggZW1iZWRkaW5nIHRvIGRlcGxveSBmb3Igd2hpY2ggdXNlIGNhc2UuWgxua2pxaHlqOXRldWpyAiAAeACaAQYIABAAGACqATkSN25lZWRzIGxhbmd1YWdlIGltcHJvdmVtZW50cyB0byBkZW1vbnN0cmF0ZcKgbWVhbmluZ2xlc3OwAQC4AQDIAQAYnP27+4Q0IJz9u/uENDAAQhBraXguNGQ0a3FiNjl2Znp5ItYCCgtBQUFDR05mMkVIaxKhAgoLQUFBQ0dOZjJFSGsSC0FBQUNHTmYyRUhrGg0KCXRleHQvaHRtbBIAIg4KCnRleHQvcGxhaW4SACobIhUxMDM0Mjg2NjQ4OTAzOTc5MjQ1MjMoADgAMNa6tOyENDjWy7TshDRKfwokYXBwbGljYXRpb24vdm5kLmdvb2dsZS1hcHBzLmRvY3MubWRzGlfC19rkAVEKTwoSCgxhcHBsaWNhdGlvbnMQARgAEjcKMWRlZmVuc2liaWxpdHkgdW5kZXIgVFNDQSBhbmQgYW5hbG9nb3VzIGZyYW1ld29ya3MQARgAGAFaDHJkYnUza296OHlhaXICIAB4AIIBE3N1Z2dlc3QuejN1dTE4MGFsNTKaAQYIABAAGACwAQC4AQDIAQAY1rq07IQ0INbLtOyENDAAQhNzdWdnZXN0LnozdXUxODBhbDUyItoCCgtBQUFDR05mMkVIRRKwAgoLQUFBQ0dOZjJFSEUSC0FBQUNHTmYyRUhFGigKCXRleHQvaHRtbBIbQW5hbG9nb3VzIGNvbmRpdGlvbiBvZiB1c2U/IikKCnRleHQvcGxhaW4SG0FuYWxvZ291cyBjb25kaXRpb24gb2YgdXNlPyo7CgJNZRo1Ly9zc2wuZ3N0YXRpYy5jb20vZG9jcy9jb21tb24vYmx1ZV9zaWxob3VldHRlOTYtMC5wbmcw+OC31vozOPjgt9b6M3I9CgJNZRo3CjUvL3NzbC5nc3RhdGljLmNvbS9kb2NzL2NvbW1vbi9ibHVlX3NpbGhvdWV0dGU5Ni0wLnBuZ3gAiAEBmgEGCAAQABgAqgEdEhtBbmFsb2dvdXMgY29uZGl0aW9uIG9mIHVzZT+wAQC4AQHIAQAY+OC31vozIPjgt9b6MzAAQghraXguY210MiKXAwoLQUFBQ0dOZjJFR2MS7AIKC0FBQUNHTmYyRUdjEgtBQUFDR05mMkVHYxo8Cgl0ZXh0L2h0bWwSL05lZWRzIHByYWN0aWNhbCBjbGFyaWZpY2F0aW9uIGFuZCBhcHBsaWNhYmlsaXR5Ij0KCnRleHQvcGxhaW4SL05lZWRzIHByYWN0aWNhbCBjbGFyaWZpY2F0aW9uIGFuZCBhcHBsaWNhYmlsaXR5KjsKAk1lGjUvL3NzbC5nc3RhdGljLmNvbS9kb2NzL2NvbW1vbi9ibHVlX3NpbGhvdWV0dGU5Ni0wLnBuZzDg0uvJ/jM44NLryf4zcj0KAk1lGjcKNS8vc3NsLmdzdGF0aWMuY29tL2RvY3MvY29tbW9uL2JsdWVfc2lsaG91ZXR0ZTk2LTAucG5neACIAQGaAQYIABAAGACqATESL05lZWRzIHByYWN0aWNhbCBjbGFyaWZpY2F0aW9uIGFuZCBhcHBsaWNhYmlsaXR5sAEAuAEByAEAGODS68n+MyDg0uvJ/jMwAEIJa2l4LmNtdDEyIpcDCgtBQUFDR05mMkVIQRLsAgoLQUFBQ0dOZjJFSEESC0FBQUNHTmYyRUhBGjwKCXRleHQvaHRtbBIvTmVlZHMgcHJhY3RpY2FsIGNsYXJpZmljYXRpb24gYW5kIGFwcGxpY2FiaWxpdHkiPQoKdGV4dC9wbGFpbhIvTmVlZHMgcHJhY3RpY2FsIGNsYXJpZmljYXRpb24gYW5kIGFwcGxpY2FiaWxpdHkqOwoCTWUaNS8vc3NsLmdzdGF0aWMuY29tL2RvY3MvY29tbW9uL2JsdWVfc2lsaG91ZXR0ZTk2LTAucG5nMNiT88n+MzjYk/PJ/jNyPQoCTWUaNwo1Ly9zc2wuZ3N0YXRpYy5jb20vZG9jcy9jb21tb24vYmx1ZV9zaWxob3VldHRlOTYtMC5wbmd4AIgBAZoBBggAEAAYAKoBMRIvTmVlZHMgcHJhY3RpY2FsIGNsYXJpZmljYXRpb24gYW5kIGFwcGxpY2FiaWxpdHmwAQC4AQHIAQAY2JPzyf4zINiT88n+MzAAQglraXguY210MTMivgIKC0FBQUNHTmtpNFFrEogCCgtBQUFDR05raTRRaxILQUFBQ0dOa2k0UWsaDQoJdGV4dC9odG1sEgAiDgoKdGV4dC9wbGFpbhIAKhsiFTEwMzQyODY2NDg5MDM5NzkyNDUyMygAOAAws5uN7oQ0OKycje6ENEplCiRhcHBsaWNhdGlvbi92bmQuZ29vZ2xlLWFwcHMuZG9jcy5tZHMaPcLX2uQBNwo1CiYKIGludmVyc2UgZG9jdW1lbnQgZnJlcXVlbmN5IChJREYpEAEYABIJCgNJREYQARgAGAFaDGppbzh4bXJyb3Bka3ICIAB4AIIBFHN1Z2dlc3QuZ2hpZzU0YjlzazlnmgEGCAAQABgAsAEAuAEAyAEAGLObje6ENCCsnI3uhDQwAEIUc3VnZ2VzdC5naGlnNTRiOXNrOWciqAIKC0FBQUNHTmtpNFFnEvYBCgtBQUFDR05raTRRZxILQUFBQ0dOa2k0UWcaFAoJdGV4dC9odG1sEgdjbGFyaWZ5IhUKCnRleHQvcGxhaW4SB2NsYXJpZnkqGyIVMTAzNDI4NjY0ODkwMzk3OTI0NTIzKAA4ADCLoovuhDQ4i6KL7oQ0SlAKCnRleHQvcGxhaW4SQnZlY3RvciBzaW1pbGFyaXR5LCB3aXRoIGludmVyc2UgZG9jdW1lbnQgZnJlcXVlbmN5IChJREYpIHdlaWdodGluZ1oMa3c3b25tMnhzN2locgIgAHgAmgEGCAAQABgAqgEJEgdjbGFyaWZ5sAEAuAEAyAEAGIuii+6ENCCLoovuhDQwAEIQa2l4Lmx3ZXRhcGFxZXZudyLgAgoLQUFBQ0dOZjJFR1kStgIKC0FBQUNHTmYyRUdZEgtBQUFDR05mMkVHWRoqCgl0ZXh0L2h0bWwSHU5lZWRzIHByYWN0aWNhbCBjbGFyaWZpY2F0aW9uIisKCnRleHQvcGxhaW4SHU5lZWRzIHByYWN0aWNhbCBjbGFyaWZpY2F0aW9uKjsKAk1lGjUvL3NzbC5nc3RhdGljLmNvbS9kb2NzL2NvbW1vbi9ibHVlX3NpbGhvdWV0dGU5Ni0wLnBuZzD4tezR/DM4+LXs0fwzcj0KAk1lGjcKNS8vc3NsLmdzdGF0aWMuY29tL2RvY3MvY29tbW9uL2JsdWVfc2lsaG91ZXR0ZTk2LTAucG5neACIAQGaAQYIABAAGACqAR8SHU5lZWRzIHByYWN0aWNhbCBjbGFyaWZpY2F0aW9usAEAuAEByAEAGPi17NH8MyD4tezR/DMwAEIIa2l4LmNtdDYiwwIKC0FBQUNHTmYyRUZ3EpgCCgtBQUFDR05mMkVGdxILQUFBQ0dOZjJFRncaIAoJdGV4dC9odG1sEhNSZXBsYWNlIHRoaXMgamFyZ29uIiEKCnRleHQvcGxhaW4SE1JlcGxhY2UgdGhpcyBqYXJnb24qOwoCTWUaNS8vc3NsLmdzdGF0aWMuY29tL2RvY3MvY29tbW9uL2JsdWVfc2lsaG91ZXR0ZTk2LTAucG5nMKj6nIOANDio+pyDgDRyPQoCTWUaNwo1Ly9zc2wuZ3N0YXRpYy5jb20vZG9jcy9jb21tb24vYmx1ZV9zaWxob3VldHRlOTYtMC5wbmd4AIgBAZoBBggAEAAYAKoBFRITUmVwbGFjZSB0aGlzIGphcmdvbrABALgBAcgBABio+pyDgDQgqPqcg4A0MABCCWtpeC5jbXQxNyLlBQoLQUFBQ0dPZFMwVjgSswUKC0FBQUNHT2RTMFY4EgtBQUFDR09kUzBWOBo+Cgl0ZXh0L2h0bWwSMWNsYXJpZnkgYW5kIGV4cGxhaW4gcmVsZXZhbmNlIHRvIHRoZSBjcnVjaWFsIGdvYWwiPwoKdGV4dC9wbGFpbhIxY2xhcmlmeSBhbmQgZXhwbGFpbiByZWxldmFuY2UgdG8gdGhlIGNydWNpYWwgZ29hbCobIhUxMDM0Mjg2NjQ4OTAzOTc5MjQ1MjMoADgAMJXonvuENDiV6J77hDRKjgMKCnRleHQvcGxhaW4S/wJUaGUgZ2FwIGJldHdlZW4gYW4gZXZhbHVhdGVkIG1ldGhvZCBhbmQgdGhlIE9yYWNsZSB0aGVyZWZvcmUgaW5kaWNhdGVzIGhvdyBtdWNoIHJvb20gcmVtYWlucyBmb3IgaW1wcm92ZW1lbnQgdW5kZXIgdGhlIHNhbWUgcmV0cmlldmFsIHBhcmFkaWdtLCB3aGlsZSB0aGUgZ2FwIGJldHdlZW4gdGhlIG1ldGhvZCBhbmQgUmFuZG9tIGluZGljYXRlcyBob3cgbXVjaCB2YWx1ZSB0aGUgbWV0aG9kIGRlbGl2ZXJzIGFib3ZlIGFuIGluZm9ybWF0aW9uLWZyZWUgYmFzZWxpbmUuIFNlY3RvckNvdmVyYWdlQDEwIGV2YWx1YXRlcyByZWNvbW1lbmRhdGlvbnMgcmVzdHJpY3RlZCB0byB0aGUgc2FtZSBOQUlDUyBwcmVmaXggYXQgMi0sIDMtLCA0LSwgYW5kIDYtZGlnaXQgZGVwdGhzLloMejcyN3ljOTdxcTRwcgIgAHgAmgEGCAAQABgAqgEzEjFjbGFyaWZ5IGFuZCBleHBsYWluIHJlbGV2YW5jZSB0byB0aGUgY3J1Y2lhbCBnb2FssAEAuAEAyAEAGJXonvuENCCV6J77hDQwAEIQa2l4LmUzZHBvODlwZ2txYiLnBgoLQUFBQ0dPVFBBekUStQYKC0FBQUNHT1RQQXpFEgtBQUFDR09UUEF6RRpsCgl0ZXh0L2h0bWwSX1doYXQmIzM5O3MgdGhlIHRha2Vhd2F5IG1lc3NhZ2UgZnJvbSB0aGlzIHRhYmxlIGFuZCB0aGUgcmVzdWx0cyBzdXBwb3J0aW5nIHRoZSB3b3JrJiMzOTtzIGdvYWw/ImUKCnRleHQvcGxhaW4SV1doYXQncyB0aGUgdGFrZWF3YXkgbWVzc2FnZSBmcm9tIHRoaXMgdGFibGUgYW5kIHRoZSByZXN1bHRzIHN1cHBvcnRpbmcgdGhlIHdvcmsncyBnb2FsPyobIhUxMDM0Mjg2NjQ4OTAzOTc5MjQ1MjMoADgAMIWpxf2ENDiFqcX9hDRKjgMKCnRleHQvcGxhaW4S/wJUYWJsZSA1LiBTaGlwcGVkIHJlY29tbWVuZGVyIHBlcmZvcm1hbmNlIChyZXRyaWV2ZV9tdWx0aSBwYXRoKSB2ZXJzdXMgcmFuZG9tIGJhc2VsaW5lIGFuZCBvcmFjbGUgY2VpbGluZyAobiA9IDEzNSB0ZXN0IGNoZW1pY2FscykuIFdDb3YgPSBXZWlnaHRlZENvdmVyYWdlOyBDUHJlYyA9IENvZGVQcmVjaXNpb24uCk1ldGhvZApXQ292QDUKQDEwCkAyMApMaWZ0QDEwIHZzIFJhbmRvbQpDUHJlY0AxMApuClNoaXBwZWQgUmVjb21tZW5kZXIKMC42Mzg3CjAuNzgwNQowLjg1NTQKKzAuNjQxICg1LjU4w5cpCjAuMzEwNgoxMzUKUmFuZG9tCjAuMDY4OAowLjEzOTgKMC4yNzUwCk4vQQowLjA2MjUKMTM1Ck9yYWNsZQowLjkwMjMKMC45NTc2CjAuOTkyNQpOL0EKMS4wMDAwCjEzNVoMbGJ3dHE2Y3h0N2I3cgIgAHgAmgEGCAAQABgAqgFhEl9XaGF0JiMzOTtzIHRoZSB0YWtlYXdheSBtZXNzYWdlIGZyb20gdGhpcyB0YWJsZSBhbmQgdGhlIHJlc3VsdHMgc3VwcG9ydGluZyB0aGUgd29yayYjMzk7cyBnb2FsP7ABALgBAMgBABiFqcX9hDQghanF/YQ0MABCEGtpeC40YjR2anhiaGR2cGMingIKC0FBQUNHTmYyRUhVEvQBCgtBQUFDR05mMkVIVRILQUFBQ0dOZjJFSFUaFAoJdGV4dC9odG1sEgdDbGFyaWZ5IhUKCnRleHQvcGxhaW4SB0NsYXJpZnkqOwoCTWUaNS8vc3NsLmdzdGF0aWMuY29tL2RvY3MvY29tbW9uL2JsdWVfc2lsaG91ZXR0ZTk2LTAucG5nMKCX7cj+Mzigl+3I/jNyPQoCTWUaNwo1Ly9zc2wuZ3N0YXRpYy5jb20vZG9jcy9jb21tb24vYmx1ZV9zaWxob3VldHRlOTYtMC5wbmd4AIgBAZoBBggAEAAYAKoBCRIHQ2xhcmlmebABALgBAcgBABigl+3I/jMgoJftyP4zMABCCGtpeC5jbXQ5Ir0CCgtBQUFDR05mMkVHcxKSAgoLQUFBQ0dOZjJFR3MSC0FBQUNHTmYyRUdzGh4KCXRleHQvaHRtbBIRRGVmaW5lIHRoZSBqYXJnb24iHwoKdGV4dC9wbGFpbhIRRGVmaW5lIHRoZSBqYXJnb24qOwoCTWUaNS8vc3NsLmdzdGF0aWMuY29tL2RvY3MvY29tbW9uL2JsdWVfc2lsaG91ZXR0ZTk2LTAucG5nMOidlImANDjonZSJgDRyPQoCTWUaNwo1Ly9zc2wuZ3N0YXRpYy5jb20vZG9jcy9jb21tb24vYmx1ZV9zaWxob3VldHRlOTYtMC5wbmd4AIgBAZoBBggAEAAYAKoBExIRRGVmaW5lIHRoZSBqYXJnb26wAQC4AQHIAQAY6J2UiYA0IOidlImANDAAQglraXguY210MjMiuw8KC0FBQUNGSEpHWUFBEokPCgtBQUFDRkhKR1lBQRILQUFBQ0ZISkdZQUEasQMKCXRleHQvaHRtbBKjA1NlZSB0aGlzIGV4YW1wbGUgZm9yIHdyaXRpbmcgdGhlIHdvcmsgbWV0aG9kIGNvbXBvbmVudHM6IEZyb20gYW4gZW52aXJvbm1lbnRhbCBwb2xsdXRpb24gcHJldmVudGlvbiBhbmQgc291cmNlIHJlZHVjdGlvbiBwZXJzcGVjdGl2ZSwgdGhpcyBpbXByb3ZlbWVudCBpcyBvcGVyYXRpb25hbGx5IG1lYW5pbmdmdWwgYmVjYXVzZSBoaWdoZXItcHJlY2lzaW9uIHNvdXJjZS1yZWR1Y3Rpb24gcmVjb21tZW5kYXRpb25zIHJlZHVjZSB0aGUgbnVtYmVyIG9mIGNhbmRpZGF0ZSBpbnRlcnZlbnRpb25zIHJlcXVpcmluZyB0ZWNobm9lY29ub21pYyBhbmQgZmFjaWxpdHktc3BlY2lmaWMgZXZhbHVhdGlvbiwgdGhlcmVieSBsb3dlcmluZyB0aGUgYW5hbHl0aWNhbCBidXJkZW4gb2YgcG9sbHV0aW9uLXByZXZlbnRpb24gaW1wbGVtZW50YXRpb24uIrIDCgp0ZXh0L3BsYWluEqMDU2VlIHRoaXMgZXhhbXBsZSBmb3Igd3JpdGluZyB0aGUgd29yayBtZXRob2QgY29tcG9uZW50czogRnJvbSBhbiBlbnZpcm9ubWVudGFsIHBvbGx1dGlvbiBwcmV2ZW50aW9uIGFuZCBzb3VyY2UgcmVkdWN0aW9uIHBlcnNwZWN0aXZlLCB0aGlzIGltcHJvdmVtZW50IGlzIG9wZXJhdGlvbmFsbHkgbWVhbmluZ2Z1bCBiZWNhdXNlIGhpZ2hlci1wcmVjaXNpb24gc291cmNlLXJlZHVjdGlvbiByZWNvbW1lbmRhdGlvbnMgcmVkdWNlIHRoZSBudW1iZXIgb2YgY2FuZGlkYXRlIGludGVydmVudGlvbnMgcmVxdWlyaW5nIHRlY2hub2Vjb25vbWljIGFuZCBmYWNpbGl0eS1zcGVjaWZpYyBldmFsdWF0aW9uLCB0aGVyZWJ5IGxvd2VyaW5nIHRoZSBhbmFseXRpY2FsIGJ1cmRlbiBvZiBwb2xsdXRpb24tcHJldmVudGlvbiBpbXBsZW1lbnRhdGlvbi4qGyIVMTAzNDI4NjY0ODkwMzk3OTI0NTIzKAA4ADC7uvb9hDQ4u7r2/YQ0SokECgp0ZXh0L3BsYWluEvoDRnJvbSBhbiBlbnZpcm9ubWVudGFsIGVuZ2luZWVyaW5nIHBlcnNwZWN0aXZlLCB0aGUgbWFnbml0dWRlIG9mIHRoaXMgbGlmdCBpcyBvcGVyYXRpb25hbGx5IHNpZ25pZmljYW50LCBzaW5jZSBhIHN5c3RlbSB0aGF0IG5lYXJseSBkb3VibGVzIHRoZSBwcmVjaXNpb24gb2YgcmVjb21tZW5kZWQgc291cmNlIHJlZHVjdGlvbiBjb2RlcyByZWR1Y2VzIHRoZSB2b2x1bWUgb2YgY2FuZGlkYXRlIGludGVydmVudGlvbnMgdGhhdCBhbiBlbmdpbmVlciBvciByaXNrIGFzc2Vzc29yIG11c3Qgc2NyZWVuLCB2ZXQgZm9yIHRlY2huaWNhbCBjb21wYXRpYmlsaXR5LCBhbmQgdmFsaWRhdGUgYWdhaW5zdCBmYWNpbGl0eS1zcGVjaWZpYyBwcm9jZXNzIGNvbnN0cmFpbnRzLCBsb3dlcmluZyB0aGUgYW5hbHl0aWNhbCBidXJkZW4gdGhhdCBoYXMgaGlzdG9yaWNhbGx5IHNsb3dlZCB0aGUgYWRvcHRpb24gb2YgcG9sbHV0aW9uIHByZXZlbnRpb24gcHJhY3RpY2VzIGF0IHRoZSBmYWNpbGl0eSBsZXZlbC5aC29vM3ZrOHpuZ2hvcgIgAHgAmgEGCAAQABgAqgGmAxKjA1NlZSB0aGlzIGV4YW1wbGUgZm9yIHdyaXRpbmcgdGhlIHdvcmsgbWV0aG9kIGNvbXBvbmVudHM6IEZyb20gYW4gZW52aXJvbm1lbnRhbCBwb2xsdXRpb24gcHJldmVudGlvbiBhbmQgc291cmNlIHJlZHVjdGlvbiBwZXJzcGVjdGl2ZSwgdGhpcyBpbXByb3ZlbWVudCBpcyBvcGVyYXRpb25hbGx5IG1lYW5pbmdmdWwgYmVjYXVzZSBoaWdoZXItcHJlY2lzaW9uIHNvdXJjZS1yZWR1Y3Rpb24gcmVjb21tZW5kYXRpb25zIHJlZHVjZSB0aGUgbnVtYmVyIG9mIGNhbmRpZGF0ZSBpbnRlcnZlbnRpb25zIHJlcXVpcmluZyB0ZWNobm9lY29ub21pYyBhbmQgZmFjaWxpdHktc3BlY2lmaWMgZXZhbHVhdGlvbiwgdGhlcmVieSBsb3dlcmluZyB0aGUgYW5hbHl0aWNhbCBidXJkZW4gb2YgcG9sbHV0aW9uLXByZXZlbnRpb24gaW1wbGVtZW50YXRpb24usAEAuAEAyAEAGLu69v2ENCC7uvb9hDQwAEIQa2l4Lmkwem9qMHF1dHM0cCKABwoLQUFBQ0dPVFBBekESzwYKC0FBQUNHT1RQQXpBEgtBQUFDR09UUEF6QRptCgl0ZXh0L2h0bWwSYFdoYXQmIzM5O3MgdGhlIHRha2Vhd2F5IG1lc3NhZ2UgZnJvbSB0aGUgZmlndXJlcyBhbmQgdGhlIHJlc3VsdHMgc3VwcG9ydGluZyB0aGUgd29yayYjMzk7cyBnb2FsPyJmCgp0ZXh0L3BsYWluElhXaGF0J3MgdGhlIHRha2Vhd2F5IG1lc3NhZ2UgZnJvbSB0aGUgZmlndXJlcyBhbmQgdGhlIHJlc3VsdHMgc3VwcG9ydGluZyB0aGUgd29yaydzIGdvYWw/KhsiFTEwMzQyODY2NDg5MDM5NzkyNDUyMygAOAAwps7D/YQ0OKbOw/2ENEqlAwoKdGV4dC9wbGFpbhKWA0ZpZ3VyZSA5LiBuRENHQGsgY3VydmVzIGFnYWluc3Qgc3RydWN0dXJhbCBhbmNob3IgKFRhbmltb3RvKSBmb3IgayA9IDUsIDEwLCBhbmQgMjAuIE1vcmdhbiBmaW5nZXJwcmludHMgZG9taW5hdGUgdW5kZXIgc3RydWN0dXJhbCBzaW1pbGFyaXR5LCBhcyBleHBlY3RlZCBmcm9tIHRoZSBlbWJlZGRpbmcgcXVhbGl0eSBhbmFseXNpcy4KCkZpZ3VyZSAxMC4gbkRDR0BrIGN1cnZlcyBhZ2FpbnN0IG9wZXJhdGlvbmFsIGFuY2hvciAoSmFjY2FyZCBhY3Rpdml0eSBzaW1pbGFyaXR5KS4gSHlicmlkIGVtYmVkZGluZ3MgYWNoaWV2ZSB0aGUgaGlnaGVzdCBvcGVyYXRpb25hbCBuRENHQDEwICgwLjIxMyksIGNvbmZpcm1pbmcgdGhlaXIgYWR2YW50YWdlIGZvciBvcGVyYXRpb25hbGx5IHJlbGV2YW50IHJldHJpZXZhbC5aDDF3bGp1ODE3eTU1OHICIAB4AJoBBggAEAAYAKoBYhJgV2hhdCYjMzk7cyB0aGUgdGFrZWF3YXkgbWVzc2FnZSBmcm9tIHRoZSBmaWd1cmVzIGFuZCB0aGUgcmVzdWx0cyBzdXBwb3J0aW5nIHRoZSB3b3JrJiMzOTtzIGdvYWw/sAEAuAEAyAEAGKbOw/2ENCCmzsP9hDQwAEIPa2l4LmYxYXprMmpqNXl2IuMECgtBQUFDR05mMkVIURK5BAoLQUFBQ0dOZjJFSFESC0FBQUNHTmYyRUhRGoEBCgl0ZXh0L2h0bWwSdE5lZWQgYSBzdHJvbmcgcHJhZ21hdGljIDxicj5zZW50ZW5jZSBkZXNjcmliaW5nIGhvdyB0aGUgdG9vbCB3aWxsIHByb3ZpZGUgUDIgc29sdXRpb25zIHRvIGV4aXN0aW5nIGFuZCBuZXcgY2hlbWljYWxzIn8KCnRleHQvcGxhaW4ScU5lZWQgYSBzdHJvbmcgcHJhZ21hdGljIApzZW50ZW5jZSBkZXNjcmliaW5nIGhvdyB0aGUgdG9vbCB3aWxsIHByb3ZpZGUgUDIgc29sdXRpb25zIHRvIGV4aXN0aW5nIGFuZCBuZXcgY2hlbWljYWxzKjsKAk1lGjUvL3NzbC5nc3RhdGljLmNvbS9kb2NzL2NvbW1vbi9ibHVlX3NpbGhvdWV0dGU5Ni0wLnBuZzDw3vvR/DM48N770fwzcj0KAk1lGjcKNS8vc3NsLmdzdGF0aWMuY29tL2RvY3MvY29tbW9uL2JsdWVfc2lsaG91ZXR0ZTk2LTAucG5neACIAQGaAQYIABAAGACqAXYSdE5lZWQgYSBzdHJvbmcgcHJhZ21hdGljIDxicj5zZW50ZW5jZSBkZXNjcmliaW5nIGhvdyB0aGUgdG9vbCB3aWxsIHByb3ZpZGUgUDIgc29sdXRpb25zIHRvIGV4aXN0aW5nIGFuZCBuZXcgY2hlbWljYWxzsAEAuAEByAEAGPDe+9H8MyDw3vvR/DMwAEIIa2l4LmNtdDciqwIKC0FBQUNHTmYyRUdvEoACCgtBQUFDR05mMkVHbxILQUFBQ0dOZjJFR28aGAoJdGV4dC9odG1sEgtBZGQgY29udGV4dCIZCgp0ZXh0L3BsYWluEgtBZGQgY29udGV4dCo7CgJNZRo1Ly9zc2wuZ3N0YXRpYy5jb20vZG9jcy9jb21tb24vYmx1ZV9zaWxob3VldHRlOTYtMC5wbmcwkKb5ioA0OJCm+YqANHI9CgJNZRo3CjUvL3NzbC5nc3RhdGljLmNvbS9kb2NzL2NvbW1vbi9ibHVlX3NpbGhvdWV0dGU5Ni0wLnBuZ3gAiAEBmgEGCAAQABgAqgENEgtBZGQgY29udGV4dLABALgBAcgBABiQpvmKgDQgkKb5ioA0MABCCWtpeC5jbXQyNiKuAwoLQUFBQ0dOZjJFSE0ShAMKC0FBQUNHTmYyRUhNEgtBQUFDR05mMkVITRpECgl0ZXh0L2h0bWwSN0NhbiB3ZSBjb3ZlciAzMCB5cnMgc2luY2UgdGhvc2UgZGF0YXNldHMgYXJlIGF2YWlsYWJsZT8iRQoKdGV4dC9wbGFpbhI3Q2FuIHdlIGNvdmVyIDMwIHlycyBzaW5jZSB0aG9zZSBkYXRhc2V0cyBhcmUgYXZhaWxhYmxlPyo7CgJNZRo1Ly9zc2wuZ3N0YXRpYy5jb20vZG9jcy9jb21tb24vYmx1ZV9zaWxob3VldHRlOTYtMC5wbmcw0ImT1vozONCJk9b6M3I9CgJNZRo3CjUvL3NzbC5nc3RhdGljLmNvbS9kb2NzL2NvbW1vbi9ibHVlX3NpbGhvdWV0dGU5Ni0wLnBuZ3gAiAEBmgEGCAAQABgAqgE5EjdDYW4gd2UgY292ZXIgMzAgeXJzIHNpbmNlIHRob3NlIGRhdGFzZXRzIGFyZSBhdmFpbGFibGU/sAEAuAEByAEAGNCJk9b6MyDQiZPW+jMwAEIIa2l4LmNtdDAihQMKC0FBQUNHTmYyRUdrEtoCCgtBQUFDR05mMkVHaxILQUFBQ0dOZjJFR2saNgoJdGV4dC9odG1sEilBZGQgY29udGV4dCByZWxhdGVkIHRvIHRoZSBwcmFjdGljYWwgd29yayI3Cgp0ZXh0L3BsYWluEilBZGQgY29udGV4dCByZWxhdGVkIHRvIHRoZSBwcmFjdGljYWwgd29yayo7CgJNZRo1Ly9zc2wuZ3N0YXRpYy5jb20vZG9jcy9jb21tb24vYmx1ZV9zaWxob3VldHRlOTYtMC5wbmcwqITproA0OKiE6a6ANHI9CgJNZRo3CjUvL3NzbC5nc3RhdGljLmNvbS9kb2NzL2NvbW1vbi9ibHVlX3NpbGhvdWV0dGU5Ni0wLnBuZ3gAiAEBmgEGCAAQABgAqgErEilBZGQgY29udGV4dCByZWxhdGVkIHRvIHRoZSBwcmFjdGljYWwgd29ya7ABALgBAcgBABiohOmugDQgqITproA0MABCCWtpeC5jbXQyOCLSBQoLQUFBQ0dPVFRTUFESoAUKC0FBQUNHT1RUU1BREgtBQUFDR09UVFNQURpuCgl0ZXh0L2h0bWwSYVdoYXQmIzM5O3MgdGhlIHRha2Vhd2F5IG1lc3NhZ2UgZnJvbSB0aGlzIGZpZ3VyZSBhbmQgcmVzdWx0cyBzdXBwb3J0aW5nIHRoZSB3b3JrJiMzOTtzIG1haW4gZ29hbD8iZwoKdGV4dC9wbGFpbhJZV2hhdCdzIHRoZSB0YWtlYXdheSBtZXNzYWdlIGZyb20gdGhpcyBmaWd1cmUgYW5kIHJlc3VsdHMgc3VwcG9ydGluZyB0aGUgd29yaydzIG1haW4gZ29hbD8qGyIVMTAzNDI4NjY0ODkwMzk3OTI0NTIzKAA4ADDe5oT9hDQ43uaE/YQ0SvMBCgp0ZXh0L3BsYWluEuQBRmlndXJlIDguIFdlaWdodGVkQ292ZXJhZ2VAayBmb3IgayA9IDUsIDEwLCBhbmQgMjAgYWNyb3NzIGFsbCBlbWJlZGRpbmcgc3RyYXRlZ2llcywgcmFuZG9tIGJhc2VsaW5lLCBhbmQgb3JhY2xlIGNlaWxpbmcgKG4gPSAxMzUgdGVzdCBjaGVtaWNhbHMpLiBBbGwgZW1iZWRkaW5nIHN0cmF0ZWdpZXMgc2lnbmlmaWNhbnRseSBleGNlZWQgdGhlIHJhbmRvbSBiYXNlbGluZSBhdCBhbGwgayB2YWx1ZXMuWgxvMDkwMmlhd2w0ajlyAiAAeACaAQYIABAAGACqAWMSYVdoYXQmIzM5O3MgdGhlIHRha2Vhd2F5IG1lc3NhZ2UgZnJvbSB0aGlzIGZpZ3VyZSBhbmQgcmVzdWx0cyBzdXBwb3J0aW5nIHRoZSB3b3JrJiMzOTtzIG1haW4gZ29hbD+wAQC4AQDIAQAY3uaE/YQ0IN7mhP2ENDAAQhBraXguMmpreTRvcWJiZHBvIvcDCgtBQUFDR05mMkVISRLMAwoLQUFBQ0dOZjJFSEkSC0FBQUNHTmYyRUhJGlwKCXRleHQvaHRtbBJPQ3J1Y2lhbCB0byBjb21iaW5lIHRlY2huaWNhbCBqYXJnb24gd2l0aCBwcmFjdGljYWwgbGFuZ3VhZ2Ugb24gd29yayBhcHBsaWNhdGlvbiJdCgp0ZXh0L3BsYWluEk9DcnVjaWFsIHRvIGNvbWJpbmUgdGVjaG5pY2FsIGphcmdvbiB3aXRoIHByYWN0aWNhbCBsYW5ndWFnZSBvbiB3b3JrIGFwcGxpY2F0aW9uKjsKAk1lGjUvL3NzbC5nc3RhdGljLmNvbS9kb2NzL2NvbW1vbi9ibHVlX3NpbGhvdWV0dGU5Ni0wLnBuZzDghIXK/jM44ISFyv4zcj0KAk1lGjcKNS8vc3NsLmdzdGF0aWMuY29tL2RvY3MvY29tbW9uL2JsdWVfc2lsaG91ZXR0ZTk2LTAucG5neACIAQGaAQYIABAAGACqAVEST0NydWNpYWwgdG8gY29tYmluZSB0ZWNobmljYWwgamFyZ29uIHdpdGggcHJhY3RpY2FsIGxhbmd1YWdlIG9uIHdvcmsgYXBwbGljYXRpb26wAQC4AQHIAQAY4ISFyv4zIOCEhcr+MzAAQglraXguY210MTQi8QQKC0FBQUNHT1RUU09vEr8ECgtBQUFDR09UVFNPbxILQUFBQ0dPVFRTT28aSgoJdGV4dC9odG1sEj1XaGF0JiMzOTtzIHRoZSB0YWtlYXdheSBtZXNzYWdlIGZyb20gdGhpcyBmaWd1cmUgYW5kIHJlc3VsdHM/IkcKCnRleHQvcGxhaW4SOVdoYXQncyB0aGUgdGFrZWF3YXkgbWVzc2FnZSBmcm9tIHRoaXMgZmlndXJlIGFuZCByZXN1bHRzPyobIhUxMDM0Mjg2NjQ4OTAzOTc5MjQ1MjMoADgAMI+y+vyENDiPsvr8hDRK+gEKCnRleHQvcGxhaW4S6wFGaWd1cmUgNS4gdC1TTkUgcHJvamVjdGlvbiBvZiB0aGUgTW9yZ2FuIGZpbmdlcnByaW50IGVtYmVkZGluZyBzcGFjZSBjb2xvcmVkIGJ5IGZ1bmN0aW9uYWwgY2hlbWljYWwgY2xhc3MgKHZvbGF0aWxlIG9yZ2FuaWMgY29tcG91bmQgW1ZPQ10sIGhlYXZ5IG1ldGFsLCBkaW94aW4sIHNvbHZlbnQsIGFjaWQsIG90aGVyKS4gQ2hlbWljYWxzIGNsdXN0ZXIgcHJpbWFyaWx5IGJ5IHN0cnVjdHVyYWwgc2NhZmZvbGQuWgxlaHFicTE1a2p2YjJyAiAAeACaAQYIABAAGACqAT8SPVdoYXQmIzM5O3MgdGhlIHRha2Vhd2F5IG1lc3NhZ2UgZnJvbSB0aGlzIGZpZ3VyZSBhbmQgcmVzdWx0cz+wAQC4AQDIAQAYj7L6/IQ0II+y+vyENDAAQhBraXgucHZlemtkODFtcWhpIsICCgtBQUFDR05mMkVHZxKYAgoLQUFBQ0dOZjJFR2cSC0FBQUNHTmYyRUdnGiAKCXRleHQvaHRtbBITU3Vycm9nYXRlIGNoZW1pY2FsPyIhCgp0ZXh0L3BsYWluEhNTdXJyb2dhdGUgY2hlbWljYWw/KjsKAk1lGjUvL3NzbC5nc3RhdGljLmNvbS9kb2NzL2NvbW1vbi9ibHVlX3NpbGhvdWV0dGU5Ni0wLnBuZzCo2rTW+jM4qNq01vozcj0KAk1lGjcKNS8vc3NsLmdzdGF0aWMuY29tL2RvY3MvY29tbW9uL2JsdWVfc2lsaG91ZXR0ZTk2LTAucG5neACIAQGaAQYIABAAGACqARUSE1N1cnJvZ2F0ZSBjaGVtaWNhbD+wAQC4AQHIAQAYqNq01vozIKjatNb6MzAAQghraXguY210MSKXAwoLQUFBQ0dOZjJFR0US7AIKC0FBQUNHTmYyRUdFEgtBQUFDR05mMkVHRRo8Cgl0ZXh0L2h0bWwSL05lZWRzIHByYWN0aWNhbCBjbGFyaWZpY2F0aW9uIGFuZCBhcHBsaWNhYmlsaXR5Ij0KCnRleHQvcGxhaW4SL05lZWRzIHByYWN0aWNhbCBjbGFyaWZpY2F0aW9uIGFuZCBhcHBsaWNhYmlsaXR5KjsKAk1lGjUvL3NzbC5nc3RhdGljLmNvbS9kb2NzL2NvbW1vbi9ibHVlX3NpbGhvdWV0dGU5Ni0wLnBuZzD43OXJ/jM4+Nzlyf4zcj0KAk1lGjcKNS8vc3NsLmdzdGF0aWMuY29tL2RvY3MvY29tbW9uL2JsdWVfc2lsaG91ZXR0ZTk2LTAucG5neACIAQGaAQYIABAAGACqATESL05lZWRzIHByYWN0aWNhbCBjbGFyaWZpY2F0aW9uIGFuZCBhcHBsaWNhYmlsaXR5sAEAuAEByAEAGPjc5cn+MyD43OXJ/jMwAEIJa2l4LmNtdDExIv4ECgtBQUFDR09kUzBXNBLMBAoLQUFBQ0dPZFMwVzQSC0FBQUNHT2RTMFc0Gj8KCXRleHQvaHRtbBIyc3Ryb25nIHByYWN0aWNhbCBmaW5kaW5nIG5lZWRpbmcgY2xlYXIgZXhwbGFuYXRpb24iQAoKdGV4dC9wbGFpbhIyc3Ryb25nIHByYWN0aWNhbCBmaW5kaW5nIG5lZWRpbmcgY2xlYXIgZXhwbGFuYXRpb24qGyIVMTAzNDI4NjY0ODkwMzk3OTI0NTIzKAA4ADDTmNH7hDQ405jR+4Q0SqQCCgp0ZXh0L3BsYWluEpUCVGhpcyBuZWdhdGl2ZSBjb3JyZWxhdGlvbiBpbmRpY2F0ZXMgdGhhdCBzdHJ1Y3R1cmFsbHkgc2ltaWxhciBUUkkgY2hlbWljYWxzIHRlbmQgdG8gaGF2ZSBkaXNzaW1pbGFyIHNvdXJjZSByZWR1Y3Rpb24gcHJvZmlsZXMsIGEgY291bnRlcmludHVpdGl2ZSBmaW5kaW5nIHRoYXQgY2hhbGxlbmdlcyB0aGUgd2lkZXNwcmVhZCBhc3N1bXB0aW9uIHRoYXQgc3RydWN0dXJhbCBzaW1pbGFyaXR5IGNhbiBwcm94eSBvcGVyYXRpb25hbCBiZWhhdmlvciBpbiBpbmR1c3RyaWFsIGNvbnRleHRzLloMZzZ3cWJ6YnlicWM4cgIgAHgAmgEGCAAQABgAqgE0EjJzdHJvbmcgcHJhY3RpY2FsIGZpbmRpbmcgbmVlZGluZyBjbGVhciBleHBsYW5hdGlvbrABALgBAMgBABjTmNH7hDQg05jR+4Q0MABCEGtpeC54Z3d3ejl3d2ZkN2wiggsKC0FBQUNHTnB1Z3J3EtIKCgtBQUFDR05wdWdydxILQUFBQ0dOcHVncncacwoJdGV4dC9odG1sEmZUaGUgd29yayBzZWVtcyBkaWx1dGVkLCBhbmQgdGhlIG1ldGhvZHMgZG8gbm90IHByb3ZpZGUgdXNlZnVsIGZpbmRpbmdzIGFuZCBzdXBwb3J0IGZvciBkZWNpc2lvbi1tYWtpbmcidAoKdGV4dC9wbGFpbhJmVGhlIHdvcmsgc2VlbXMgZGlsdXRlZCwgYW5kIHRoZSBtZXRob2RzIGRvIG5vdCBwcm92aWRlIHVzZWZ1bCBmaW5kaW5ncyBhbmQgc3VwcG9ydCBmb3IgZGVjaXNpb24tbWFraW5nKhsiFTEwMzQyODY2NDg5MDM5NzkyNDUyMygAOAAw6YGS/4Q0OOmBkv+ENEqXBwoKdGV4dC9wbGFpbhKIB3JlY29tbWVuZGF0aW9uIG91dHBlcmZvcm1zIGFsbCBlbWJlZGRpbmdzIGF0IHRoZSAyLWRpZ2l0IGRlcHRoICgwLjYwMSB2cy4gMC41NDEgZm9yIGh5YnJpZCksIGFuIGFydGlmYWN0IGFuYWxvZ291cyB0byB0aGUgdW53ZWlnaHRlZCBSYXdDb3ZlcmFnZSBhcnRpZmFjdCB0aGF0IG1vdGl2YXRlZCB0aGUgV2VpZ2h0ZWRDb3ZlcmFnZSBtZXRyaWMsIGFuZCBvbmUgdGhhdCBmdXJ0aGVyIHVuZGVyc2NvcmVzIHRoZSBpbXBvcnRhbmNlIG9mIGV2YWx1YXRpbmcgcmVjb21tZW5kZXJzIGF0IHRoZSBsZXZlbCBvZiBncmFudWxhcml0eSBhdCB3aGljaCBwb2xsdXRpb24gcHJldmVudGlvbiBpbnZlc3RtZW50cyBhcmUgYWN0dWFsbHkgbWFkZS4gVGhpcyBzZWN0b3JhbCBzcGVjaWZpY2l0eSBoYXMgZGlyZWN0IHByYWN0aWNhbCBpbXBsaWNhdGlvbnMuIFByYWN0aXRpb25lcnMgcXVlcnlpbmcgb24gYmVoYWxmIG9mIHNwZWNpZmljIGluZHVzdHJpZXMsIHN1Y2ggYXMgcGxhbnQtbGV2ZWwgZW52aXJvbm1lbnRhbCBlbmdpbmVlcnMsIHNvdXJjZSByZWR1Y3Rpb24gcmV2aWV3ZXJzLCBvciBjaGVtaWNhbCByaXNrIGFzc2Vzc29ycywgd291bGQgYmVuZWZpdCBmcm9tIHNlY3Rvci1jb25kaXRpb25lZCBmaWx0ZXJpbmcgb2YgcmV0cmlldmVkIGFjdGl2aXR5IGNvZGVzLCBhIG1vZGUgdGhhdCBpcyBkaXJlY3RseSBzdXBwb3J0ZWQgYnkgdGhlIEZJTEVEX0JZIHJlbGF0aW9uc2hpcCBpbiB0aGUgZXhpc3RpbmcgS0cgc2NoZW1hIGFuZCB0aGF0IGFsaWducyB3aXRoIHRoZSBjaGVtaWNhbC1jZW50cmljIGFuZCBmYWNpbGl0eS1jZW50cmljIHRyYWNraW5nIGZyYW1ld29yayBwcmV2aW91c2x5IGRldmVsb3BlZCBmb3IgRW9MIG1hbmFnZW1lbnQgKEhlcm5hbmRlei1CZXRhbmN1ciBldCBhbC4sIDIwMjNiKS5aDG1zZzJ4ZzFsbGNpMHICIAB4AJoBBggAEAAYAKoBaBJmVGhlIHdvcmsgc2VlbXMgZGlsdXRlZCwgYW5kIHRoZSBtZXRob2RzIGRvIG5vdCBwcm92aWRlIHVzZWZ1bCBmaW5kaW5ncyBhbmQgc3VwcG9ydCBmb3IgZGVjaXNpb24tbWFraW5nGOmBkv+ENCDpgZL/hDRCEGtpeC45ZjJ3c3Jqd3dhdnQinwIKC0FBQUNHTmYyRUdBEvQBCgtBQUFDR05mMkVHQRILQUFBQ0dOZjJFR0EaFAoJdGV4dC9odG1sEgdDbGFyaWZ5IhUKCnRleHQvcGxhaW4SB0NsYXJpZnkqOwoCTWUaNS8vc3NsLmdzdGF0aWMuY29tL2RvY3MvY29tbW9uL2JsdWVfc2lsaG91ZXR0ZTk2LTAucG5nMODSroSANDjg0q6EgDRyPQoCTWUaNwo1Ly9zc2wuZ3N0YXRpYy5jb20vZG9jcy9jb21tb24vYmx1ZV9zaWxob3VldHRlOTYtMC5wbmd4AIgBAZoBBggAEAAYAKoBCRIHQ2xhcmlmebABALgBAcgBABjg0q6EgDQg4NKuhIA0MABCCWtpeC5jbXQyMSKoAgoLQUFBQ0dPZFMwVzAS9gEKC0FBQUNHT2RTMFcwEgtBQUFDR09kUzBXMBoUCgl0ZXh0L2h0bWwSB3VuY2xlYXIiFQoKdGV4dC9wbGFpbhIHdW5jbGVhciobIhUxMDM0Mjg2NjQ4OTAzOTc5MjQ1MjMoADgAMOSazPuENDjkmsz7hDRKUAoKdGV4dC9wbGFpbhJCZGVjb3VwbGluZyBiZXR3ZWVuIHN0cnVjdHVyYWwgYW5kIG9wZXJhdGlvbmFsIGNoZW1pY2FsIHNpbWlsYXJpdHkuWgxnYTdvNHA4YnFndWtyAiAAeACaAQYIABAAGACqAQkSB3VuY2xlYXKwAQC4AQDIAQAY5JrM+4Q0IOSazPuENDAAQhBraXgudDZwOWNnMjAxN3I1ItwKCgtBQUFDR05wdWdybxKsCgoLQUFBQ0dOcHVncm8SC0FBQUNHTnB1Z3JvGl0KCXRleHQvaHRtbBJQVGhpcyBpcyBhbiBvYnZpb3VzwqBmaW5kaW5nLiBVbmNsZWFyIGhvdyB0aGUgZW1iZWRkaW5ncyBzdXBwb3J0wqBkZWNpc2lvbiBtYWtpbmciXgoKdGV4dC9wbGFpbhJQVGhpcyBpcyBhbiBvYnZpb3VzwqBmaW5kaW5nLiBVbmNsZWFyIGhvdyB0aGUgZW1iZWRkaW5ncyBzdXBwb3J0wqBkZWNpc2lvbiBtYWtpbmcqGyIVMTAzNDI4NjY0ODkwMzk3OTI0NTIzKAA4ADD6qvz+hDQ4+qr8/oQ0SrMHCgp0ZXh0L3BsYWluEqQHSHlicmlkIGVtYmVkZGluZ3MgeWllbGQgdGhlIGhpZ2hlc3Qgc2VjdG9yLWNvbmRpdGlvbmVkIGNvdmVyYWdlIGF0IHRoZSA0LWRpZ2l0ICgwLjMzNykgYW5kIDYtZGlnaXQgKDAuMjYwKSBOQUlDUyBkZXB0aHMgKFRhYmxlIDYpLCBpbmRpY2F0aW5nIHRoYXQgdGhlaXIgZHVhbCBzdHJ1Y3R1cmFsLXNlbWFudGljIHJlcHJlc2VudGF0aW9uIGlzIG1vc3QgZWZmZWN0aXZlIGF0IHByZXNlcnZpbmcgaW5kdXN0cnktc3BlY2lmaWMgYWN0aXZpdHkgcHJvZmlsZXMuIFRoZSBjb25zaXN0ZW50IGRlZ3JhZGF0aW9uIGZyb20gMi1kaWdpdCB0byA2LWRpZ2l0IGRlcHRoIGZvciBhbGwgbWV0aG9kcyAoZS5nLiwgSHlicmlkOiBmcm9tIDAuNTQxIHRvIDAuMjYwKSByZWZsZWN0cyBnZW51aW5lIGluZHVzdHJ5IHNwZWNpYWxpemF0aW9uIGluIHNvdXJjZSByZWR1Y3Rpb24gcHJhY3RpY2UsIGJlY2F1c2UgdGhlIGludGVydmVudGlvbnMgdGhhdCBhcmUgZWZmZWN0aXZlIGluIGEgc3BlY2lmaWMgNi1kaWdpdCBOQUlDUyBpbmR1c3RyeSAoZS5nLiwgcGV0cm9sZXVtIHJlZmluaW5nIG9yIHBoYXJtYWNldXRpY2FsIG1hbnVmYWN0dXJpbmcpIGRpZmZlciBzdWJzdGFudGlhbGx5IGZyb20gdGhvc2UgYXBwbGljYWJsZSB0byBicm9hZGVyIHNlY3RvciBncm91cGluZ3MuIFRoaXMgcGF0dGVybiBpcyBjb25zaXN0ZW50IHdpdGggdGhlIGVuZ2luZWVyaW5nIHJlYWxpdHkgdGhhdCBzb3VyY2UgcmVkdWN0aW9uIGRlY2lzaW9ucyBhcmUgdGlnaHRseSBib3VuZCB0byB0aGUgY2hlbWlzdHJ5LCBlcXVpcG1lbnQsIGFuZCBmZWVkc3RvY2sgZWNvbm9taWNzIG9mIGEgc3BlY2lmaWMgc3Vic2VjdG9yLCBhbmQgdGhhdCBnZW5lcmljIHJlY29tbWVuZGF0aW9ucyByYXJlbHkgdHJhbnNsYXRlIGludG8gbWVhc3VyYWJsZSBvbi1zaXRlIHJlbGVhc2UgcmVkdWN0aW9ucy5aDHU3YTZha2M1cnQyMnICIAB4AJoBBggAEAAYAKoBUhJQVGhpcyBpcyBhbiBvYnZpb3VzwqBmaW5kaW5nLiBVbmNsZWFyIGhvdyB0aGUgZW1iZWRkaW5ncyBzdXBwb3J0wqBkZWNpc2lvbiBtYWtpbmcY+qr8/oQ0IPqq/P6ENEIQa2l4LmNwcWw0bGZkamo5ZiKyBwoLQUFBQ0dPZFMwVzgSgAcKC0FBQUNHT2RTMFc4EgtBQUFDR09kUzBXOBo4Cgl0ZXh0L2h0bWwSK3VuY2xlYXLCoHJlbGV2YW5jeSB3aGVuIHN1cHBvcnRpbmcgd29yayBhaW0iOQoKdGV4dC9wbGFpbhIrdW5jbGVhcsKgcmVsZXZhbmN5IHdoZW4gc3VwcG9ydGluZyB3b3JrIGFpbSobIhUxMDM0Mjg2NjQ4OTAzOTc5MjQ1MjMoADgAMPKN1fuENDjyjdX7hDRK7QQKCnRleHQvcGxhaW4S3gRNb2xEZUJFUlRhIGVtYmVkZGluZ3Mgc2hvdyB3ZWFrZXIgc3RydWN0dXJhbCBjb3JyZWxhdGlvbiAoz4EgPSAwLjI3MikgYnV0IHBvc2l0aXZlIG9wZXJhdGlvbmFsIGNvcnJlbGF0aW9uICjPgSA9IDAuMDcwKSwgd2hpbGUgSHlicmlkIGVtYmVkZGluZ3MgYXJlIGludGVybWVkaWF0ZSBiZXR3ZWVuIHRoZSB0d28gKM+BX1Rhbmltb3RvID0gMC4zNTgsIM+BX0phY2NhcmQgPSAwLjA3OCkuIEFsbCBjb3JyZWxhdGlvbnMgYXJlIHN0YXRpc3RpY2FsbHkgc2lnbmlmaWNhbnQgKHAgPCAwLjAwMSkuClRoZSB0LVNORSAodC1kaXN0cmlidXRlZCBTdG9jaGFzdGljIE5laWdoYm9yIEVtYmVkZGluZywgYSBub25saW5lYXIgZGltZW5zaW9uYWxpdHkgcmVkdWN0aW9uIHRlY2huaXF1ZSB0aGF0IHByb2plY3RzIGhpZ2gtZGltZW5zaW9uYWwgdmVjdG9ycyBpbnRvIHR3byBkaW1lbnNpb25zIHdoaWxlIHByZXNlcnZpbmcgbG9jYWwgbmVpZ2hib3Job29kIHN0cnVjdHVyZSwgZW5hYmxpbmcgdmlzdWFsIGluc3BlY3Rpb24gb2YgY2x1c3RlciBzZXBhcmF0aW9uKSBwcm9qZWN0aW9ucyAoRmlndXJlcyA14oCTNykgdmlzdWFsbHkgaWxsdXN0cmF0ZSB0aGVzZSBkaWZmZXJlbmNlcy5aDGw5bWQ5dTY2Zm5yNnICIAB4AJoBBggAEAAYAKoBLRIrdW5jbGVhcsKgcmVsZXZhbmN5IHdoZW4gc3VwcG9ydGluZyB3b3JrIGFpbbABALgBAMgBABjyjdX7hDQg8o3V+4Q0MABCEGtpeC4yeGJ5MGU0d3dlamcinQMKC0FBQUNHTmYyRUc4EvICCgtBQUFDR05mMkVHOBILQUFBQ0dOZjJFRzgaPgoJdGV4dC9odG1sEjFFeHBsYWluIGhvdyB0aGlzIHN1cHBvcnRzIHRoZSBwcmFjdGljYWwgd29yayBhaW1zIj8KCnRleHQvcGxhaW4SMUV4cGxhaW4gaG93IHRoaXMgc3VwcG9ydHMgdGhlIHByYWN0aWNhbCB3b3JrIGFpbXMqOwoCTWUaNS8vc3NsLmdzdGF0aWMuY29tL2RvY3MvY29tbW9uL2JsdWVfc2lsaG91ZXR0ZTk2LTAucG5nMMjc1q6ANDjI3NaugDRyPQoCTWUaNwo1Ly9zc2wuZ3N0YXRpYy5jb20vZG9jcy9jb21tb24vYmx1ZV9zaWxob3VldHRlOTYtMC5wbmd4AIgBAZoBBggAEAAYAKoBMxIxRXhwbGFpbiBob3cgdGhpcyBzdXBwb3J0cyB0aGUgcHJhY3RpY2FsIHdvcmsgYWltc7ABALgBAcgBABjI3NaugDQgyNzWroA0MABCCWtpeC5jbXQyNyKXBQoLQUFBQ0ZISkdZQU0S5QQKC0FBQUNGSEpHWUFNEgtBQUFDRkhKR1lBTRoUCgl0ZXh0L2h0bWwSB2NsYXJpZnkiFQoKdGV4dC9wbGFpbhIHY2xhcmlmeSobIhUxMDM0Mjg2NjQ4OTAzOTc5MjQ1MjMoADgAML3+k/6ENDi9/pP+hDRKvwMKCnRleHQvcGxhaW4SsANTZWNvbmQsIHRoZSBjcm9zcy1lbnRpdHkgaW50ZXJzZWN0aW9uIHdpdGggSURGIHdlaWdodGluZyBwZXJmb3JtcyBpbXBsaWNpdCBjb25zZW5zdXMgZmlsdGVyaW5nIHRoYXQgc3VwcHJlc3NlcyBpZGlvc3luY3JhdGljLCBmYWNpbGl0eS1zcGVjaWZpYyBjb2RlcyBhbmQgZWxldmF0ZXMgcHJhY3RpY2VzIHRoYXQgaGF2ZSBiZWVuIGNvbnNpc3RlbnRseSBhcHBsaWVkIGFjcm9zcyB0aGUgcmVndWxhdGVkIHBvcHVsYXRpb24sIHdoaWNoIGlzIHRoZSBzYW1lIGtpbmQgb2YgY29uc2Vuc3VzIHNpZ25hbCB0aGF0IHByYWN0aXRpb25lcnMgdHlwaWNhbGx5IGRpc3RpbGwgbWFudWFsbHkgZnJvbSB5ZWFycyBvZiBUUkkgYmVuY2htYXJraW5nIHN0dWRpZXMgKFJ1aXotTWVyY2FkbyBldCBhbC4sIDIwMTI7IEhlcm5hbmRlei1CZXRhbmN1ciBldCBhbC4sIDIwMjNhKS5aC21ycWdoa3l0NmZscgIgAHgAmgEGCAAQABgAqgEJEgdjbGFyaWZ5sAEAuAEAyAEAGL3+k/6ENCC9/pP+hDQwAEIQa2l4LnY5bWtuanV0dG8zZyLaFgoLQUFBQ0dOcHVnc0USqhYKC0FBQUNHTnB1Z3NFEgtBQUFDR05wdWdzRRrFBAoJdGV4dC9odG1sErcEVGhpcyBpcyB0aGUgbW9zdCBpbXBvcnRhbnTCoHNlY3Rpb24gb2YgdGhlIG1hbnVzY3JpcHQgdG8gc2hvdyB0aGUgd29yayYjMzk7cyBmdW5jdGlvbmFsaXR5LCBhcHBsaWNhYmlsaXR5LCByZXN1bHRzLCBhbmQgc3VwcG9ydCBmb3IgcG9sbHV0aW9uIHByZXZlbnRpb24gaW5pdGlhdGl2ZXMgdG8gbWluaW1pemUgcmlzay4gTmVlZHMgY29uc2lkZXJhYmxlIHJld3JpdGluZyBmb3IgY2xhcml0eSB3aGlsZSBleHBhbmRpbmcgdGhlIGV4ZXJjaXNlIG9mIHNlbGVjdGluZyB0aGUgVFNDQSBwcmlvcml0eSBsaXN0IGNoZW1pY2FscyBhcyBjYXNlIHN0dWRpZXMgdG8gc2hvdyBob3cgdGhlIG1ldGhvZCBldmFsdWF0ZXMgcHJldmlvdXNseSBwcm92ZW4gUDIgZWZmb3J0cywgd2hpY2ggY2FuIGJlIGVmZmVjdGl2ZSBvbiB0aGUgcHJpb3JpdHkgY2hlbWljYWxzIGFuZCB0aGVpciBjb3JyZXNwb25kaW5nIENvVXMuIEFsc28sIGNhbiB3ZSBkZW1vbnN0cmF0ZcKgb3IgcHJlZGljdCB0aGUgUDIgbWV0aG9kcywgdGhlIHRhcmdldGVkIENvVSwgYW5kIHRoZSBleHBlY3RlZCBudW1lcmljYWwgUDIgYWNoaWV2ZWQ/IsIECgp0ZXh0L3BsYWluErMEVGhpcyBpcyB0aGUgbW9zdCBpbXBvcnRhbnTCoHNlY3Rpb24gb2YgdGhlIG1hbnVzY3JpcHQgdG8gc2hvdyB0aGUgd29yaydzIGZ1bmN0aW9uYWxpdHksIGFwcGxpY2FiaWxpdHksIHJlc3VsdHMsIGFuZCBzdXBwb3J0IGZvciBwb2xsdXRpb24gcHJldmVudGlvbiBpbml0aWF0aXZlcyB0byBtaW5pbWl6ZSByaXNrLiBOZWVkcyBjb25zaWRlcmFibGUgcmV3cml0aW5nIGZvciBjbGFyaXR5IHdoaWxlIGV4cGFuZGluZyB0aGUgZXhlcmNpc2Ugb2Ygc2VsZWN0aW5nIHRoZSBUU0NBIHByaW9yaXR5IGxpc3QgY2hlbWljYWxzIGFzIGNhc2Ugc3R1ZGllcyB0byBzaG93IGhvdyB0aGUgbWV0aG9kIGV2YWx1YXRlcyBwcmV2aW91c2x5IHByb3ZlbiBQMiBlZmZvcnRzLCB3aGljaCBjYW4gYmUgZWZmZWN0aXZlIG9uIHRoZSBwcmlvcml0eSBjaGVtaWNhbHMgYW5kIHRoZWlyIGNvcnJlc3BvbmRpbmcgQ29Vcy4gQWxzbywgY2FuIHdlIGRlbW9uc3RyYXRlwqBvciBwcmVkaWN0IHRoZSBQMiBtZXRob2RzLCB0aGUgdGFyZ2V0ZWQgQ29VLCBhbmQgdGhlIGV4cGVjdGVkIG51bWVyaWNhbCBQMiBhY2hpZXZlZD8qGyIVMTAzNDI4NjY0ODkwMzk3OTI0NTIzKAA4ADCSo7+AhTQ4kqO/gIU0SvoHCgp0ZXh0L3BsYWluEusHQXBwbGljYWJpbGl0eSB0ZXN0aW5nIG9uIEVQQSBUU0NBIGNoZW1pY2FscwpUU0NBLCBhcyBhbWVuZGVkIGJ5IHRoZSBGcmFuayBSLiBMYXV0ZW5iZXJnIENoZW1pY2FsIFNhZmV0eSBmb3IgdGhlIDIxc3QgQ2VudHVyeSBBY3Qgb2YgMjAxNiwgcmVxdWlyZXMgdGhlIEVQQSB0byBldmFsdWF0ZSB0aGUgcmlzayBvZiBleGlzdGluZyBjaGVtaWNhbHMgYW5kLCB3aGVuIGFuIHVucmVhc29uYWJsZSByaXNrIGlzIGlkZW50aWZpZWQsIHRvIG1hbmFnZSB0aGF0IHJpc2sgdGhyb3VnaCByZWd1bGF0b3J5IGFjdGlvbi4gUmlzay1tYW5hZ2VtZW50IGRlY2lzaW9ucyBpc3N1ZWQgdW5kZXIgVFNDQSBTZWN0aW9uIDYoYSkgbWF5IGluY2x1ZGUgYmFucywgdXNlIHJlc3RyaWN0aW9ucywgYW5kIGV4cG9zdXJlIGxpbWl0cywgYW5kIChjb25zaXN0ZW50IHdpdGggdGhlIHBvbGx1dGlvbiBwcmV2ZW50aW9uIGhpZXJhcmNoeSBjb2RpZmllZCBpbiB0aGUgUG9sbHV0aW9uIFByZXZlbnRpb24gQWN0IG9mIDE5OTApIG1lYXN1cmVzIHRoYXQgcHJldmVudCByZWxlYXNlcyBhdCB0aGUgc291cmNlIHJhdGhlciB0aGFuIGNvbnRyb2wgdGhlbSBhZnRlciB0aGUgZmFjdC4gVG8gZXhhbWluZSB3aGV0aGVyIHRoZSBmcmFtZXdvcmsgY2FuIHN1cHBvcnQgdGhhdCByaXNrLW1hbmFnZW1lbnQgc3RlcCBvbiBjaGVtaWNhbHMgY3VycmVudGx5IGRyaXZpbmcgVS5TLiByZWd1bGF0b3J5IGFjdGlvbiwgZWxldmVuIHN1YnN0YW5jZXMgd2VyZSBkcmF3biBmcm9tIHRocmVlIEVQQSBUU0NBIHJpc2stZXZhbHVhdGlvbiBkZXNpZ25hdGlvbiBjb2hvcnRzOiB0aGUgZmlyc3QgdGVuIGNoZW1pY2FscyBkZXNpZ25hdGVkIGZvciByaXNrIGV2YWx1YXRpb24gaW4gRGVjZW1iZXIgMjAxNiwgdGhlIG5leHQgdHdlbnR5IGhpZ2gtcHJpb3JpdHkgc3Vic3RhbmNlcyBkZXNpZ25hdGVkIGluIERlY2VtYmVyIDIwMTksIGFuZCB0aGUgbW9zdCByZWNlbnQgaGlnaC1wcmlvcml0eSBjb2hvcnQgZmluYWxpeuKAploMZjJhMmJqY3RkdHcycgIgAHgAmgEGCAAQABgAqgG6BBK3BFRoaXMgaXMgdGhlIG1vc3QgaW1wb3J0YW50wqBzZWN0aW9uIG9mIHRoZSBtYW51c2NyaXB0IHRvIHNob3cgdGhlIHdvcmsmIzM5O3MgZnVuY3Rpb25hbGl0eSwgYXBwbGljYWJpbGl0eSwgcmVzdWx0cywgYW5kIHN1cHBvcnQgZm9yIHBvbGx1dGlvbiBwcmV2ZW50aW9uIGluaXRpYXRpdmVzIHRvIG1pbmltaXplIHJpc2suIE5lZWRzIGNvbnNpZGVyYWJsZSByZXdyaXRpbmcgZm9yIGNsYXJpdHkgd2hpbGUgZXhwYW5kaW5nIHRoZSBleGVyY2lzZSBvZiBzZWxlY3RpbmcgdGhlIFRTQ0EgcHJpb3JpdHkgbGlzdCBjaGVtaWNhbHMgYXMgY2FzZSBzdHVkaWVzIHRvIHNob3cgaG93IHRoZSBtZXRob2QgZXZhbHVhdGVzIHByZXZpb3VzbHkgcHJvdmVuIFAyIGVmZm9ydHMsIHdoaWNoIGNhbiBiZSBlZmZlY3RpdmUgb24gdGhlIHByaW9yaXR5IGNoZW1pY2FscyBhbmQgdGhlaXIgY29ycmVzcG9uZGluZyBDb1VzLiBBbHNvLCBjYW4gd2UgZGVtb25zdHJhdGXCoG9yIHByZWRpY3QgdGhlIFAyIG1ldGhvZHMsIHRoZSB0YXJnZXRlZCBDb1UsIGFuZCB0aGUgZXhwZWN0ZWQgbnVtZXJpY2FsIFAyIGFjaGlldmVkPxiSo7+AhTQgkqO/gIU0QhBraXgudnhiYWF4am1jdjF2Ip8CCgtBQUFDR05mMkVHVRL0AQoLQUFBQ0dOZjJFR1USC0FBQUNHTmYyRUdVGhQKCXRleHQvaHRtbBIHQ2xhcmlmeSIVCgp0ZXh0L3BsYWluEgdDbGFyaWZ5KjsKAk1lGjUvL3NzbC5nc3RhdGljLmNvbS9kb2NzL2NvbW1vbi9ibHVlX3NpbGhvdWV0dGU5Ni0wLnBuZzC4/vOKgDQ4uP7zioA0cj0KAk1lGjcKNS8vc3NsLmdzdGF0aWMuY29tL2RvY3MvY29tbW9uL2JsdWVfc2lsaG91ZXR0ZTk2LTAucG5neACIAQGaAQYIABAAGACqAQkSB0NsYXJpZnmwAQC4AQHIAQAYuP7zioA0ILj+84qANDAAQglraXguY210MjUiswIKC0FBQUNHTmYyRUZzEokCCgtBQUFDR05mMkVGcxILQUFBQ0dOZjJFRnMaGwoJdGV4dC9odG1sEg5DaGVtaWNhbCBuYW1lPyIcCgp0ZXh0L3BsYWluEg5DaGVtaWNhbCBuYW1lPyo7CgJNZRo1Ly9zc2wuZ3N0YXRpYy5jb20vZG9jcy9jb21tb24vYmx1ZV9zaWxob3VldHRlOTYtMC5wbmcwmPe61vozOJj3utb6M3I9CgJNZRo3CjUvL3NzbC5nc3RhdGljLmNvbS9kb2NzL2NvbW1vbi9ibHVlX3NpbGhvdWV0dGU5Ni0wLnBuZ3gAiAEBmgEGCAAQABgAqgEQEg5DaGVtaWNhbCBuYW1lP7ABALgBAcgBABiY97rW+jMgmPe61vozMABCCGtpeC5jbXQzIp8CCgtBQUFDR05mMkVHURL0AQoLQUFBQ0dOZjJFR1ESC0FBQUNHTmYyRUdRGhQKCXRleHQvaHRtbBIHQ2xhcmlmeSIVCgp0ZXh0L3BsYWluEgdDbGFyaWZ5KjsKAk1lGjUvL3NzbC5nc3RhdGljLmNvbS9kb2NzL2NvbW1vbi9ibHVlX3NpbGhvdWV0dGU5Ni0wLnBuZzCA7PDI/jM4gOzwyP4zcj0KAk1lGjcKNS8vc3NsLmdzdGF0aWMuY29tL2RvY3MvY29tbW9uL2JsdWVfc2lsaG91ZXR0ZTk2LTAucG5neACIAQGaAQYIABAAGACqAQkSB0NsYXJpZnmwAQC4AQHIAQAYgOzwyP4zIIDs8Mj+MzAAQglraXguY210MTAinwIKC0FBQUNHTmYyRUZvEvQBCgtBQUFDR05mMkVGbxILQUFBQ0dOZjJFRm8aFAoJdGV4dC9odG1sEgdDbGFyaWZ5IhUKCnRleHQvcGxhaW4SB0NsYXJpZnkqOwoCTWUaNS8vc3NsLmdzdGF0aWMuY29tL2RvY3MvY29tbW9uL2JsdWVfc2lsaG91ZXR0ZTk2LTAucG5nMOiOmYmANDjojpmJgDRyPQoCTWUaNwo1Ly9zc2wuZ3N0YXRpYy5jb20vZG9jcy9jb21tb24vYmx1ZV9zaWxob3VldHRlOTYtMC5wbmd4AIgBAZoBBggAEAAYAKoBCRIHQ2xhcmlmebABALgBAcgBABjojpmJgDQg6I6ZiYA0MABCCWtpeC5jbXQyNCKiAwoLQUFBQ0dOZjJFR00S+AIKC0FBQUNHTmYyRUdNEgtBQUFDR05mMkVHTRpACgl0ZXh0L2h0bWwSM05lZWRzIGEgcHJhY3RpY2FsIGJlbmVmaXQgZm9yIHRhcmdldGVkIHN0YWtlaG9sZGVycyJBCgp0ZXh0L3BsYWluEjNOZWVkcyBhIHByYWN0aWNhbCBiZW5lZml0IGZvciB0YXJnZXRlZCBzdGFrZWhvbGRlcnMqOwoCTWUaNS8vc3NsLmdzdGF0aWMuY29tL2RvY3MvY29tbW9uL2JsdWVfc2lsaG91ZXR0ZTk2LTAucG5nMLDOxdb6MziwzsXW+jNyPQoCTWUaNwo1Ly9zc2wuZ3N0YXRpYy5jb20vZG9jcy9jb21tb24vYmx1ZV9zaWxob3VldHRlOTYtMC5wbmd4AIgBAZoBBggAEAAYAKoBNRIzTmVlZHMgYSBwcmFjdGljYWwgYmVuZWZpdCBmb3IgdGFyZ2V0ZWQgc3Rha2Vob2xkZXJzsAEAuAEByAEAGLDOxdb6MyCwzsXW+jMwAEIIa2l4LmNtdDQilgMKC0FBQUNHTmYyRUZrEuwCCgtBQUFDR05mMkVGaxILQUFBQ0dOZjJFRmsaPAoJdGV4dC9odG1sEi9OZWVkcyBwcmFjdGljYWwgY2xhcmlmaWNhdGlvbiBhbmQgYXBwbGljYWJpbGl0eSI9Cgp0ZXh0L3BsYWluEi9OZWVkcyBwcmFjdGljYWwgY2xhcmlmaWNhdGlvbiBhbmQgYXBwbGljYWJpbGl0eSo7CgJNZRo1Ly9zc2wuZ3N0YXRpYy5jb20vZG9jcy9jb21tb24vYmx1ZV9zaWxob3VldHRlOTYtMC5wbmcwoI2dyP4zOKCNncj+M3I9CgJNZRo3CjUvL3NzbC5nc3RhdGljLmNvbS9kb2NzL2NvbW1vbi9ibHVlX3NpbGhvdWV0dGU5Ni0wLnBuZ3gAiAEBmgEGCAAQABgAqgExEi9OZWVkcyBwcmFjdGljYWwgY2xhcmlmaWNhdGlvbiBhbmQgYXBwbGljYWJpbGl0ebABALgBAcgBABigjZ3I/jMgoI2dyP4zMABCCGtpeC5jbXQ4IuQCCgtBQUFDR05wdWdzQRK1AgoLQUFBQ0dOcHVnc0ESC0FBQUNHTnB1Z3NBGh0KCXRleHQvaHRtbBIQY29uZGl0aW9uIG9mIHVzZSIeCgp0ZXh0L3BsYWluEhBjb25kaXRpb24gb2YgdXNlKhsiFTEwMzQyODY2NDg5MDM5NzkyNDUyMygAOAAwt5Tx/4Q0OLeU8f+ENEp9Cgp0ZXh0L3BsYWluEm9zbyB0aGF0IHRoZSBmcmFtZXdvcmsgaXMgZXhlcmNpc2VkIG9uIHRoZSBzYW1lIGNoZW1pY2Fs4oCTY29udGV4dCBwYWlyaW5nIHRoYXQgbW90aXZhdGVzIHRoZSByZWd1bGF0b3J5IGFjdGlvbi5aDHFvajc5aXlqdnpteHICIAB4AJoBBggAEAAYAKoBEhIQY29uZGl0aW9uIG9mIHVzZRi3lPH/hDQgt5Tx/4Q0Qg9raXgucW9pZzJhOTVnZGUizwIKC0FBQUNHTmYyRUdJEqQCCgtBQUFDR05mMkVHSRILQUFBQ0dOZjJFR0kaJAoJdGV4dC9odG1sEhdDbGFyaWZ5IGFuZCBhZGQgZXhhbXBsZSIlCgp0ZXh0L3BsYWluEhdDbGFyaWZ5IGFuZCBhZGQgZXhhbXBsZSo7CgJNZRo1Ly9zc2wuZ3N0YXRpYy5jb20vZG9jcy9jb21tb24vYmx1ZV9zaWxob3VldHRlOTYtMC5wbmcw6OS4g4A0OOjkuIOANHI9CgJNZRo3CjUvL3NzbC5nc3RhdGljLmNvbS9kb2NzL2NvbW1vbi9ibHVlX3NpbGhvdWV0dGU5Ni0wLnBuZ3gAiAEBmgEGCAAQABgAqgEZEhdDbGFyaWZ5IGFuZCBhZGQgZXhhbXBsZbABALgBAcgBABjo5LiDgDQg6OS4g4A0MABCCWtpeC5jbXQxOTIPaWQuMjBkbDNreWJyZjF5Mg9pZC5oZ2Y2NW83azN0ZjgyD2lkLjhmYnpwYXpnM2xkcjIPaWQuYjBxa2ZvdmxhcWx0Mg9pZC53ODBhNGR2a3Vzc2wyD2lkLjM2a3h4azNna21lNzIPaWQueDRtbzczbTE3NWI4Mg9pZC45aTQ2dnFqZWdpMTIyD2lkLnU0eWxjdnVvcmkxcDIPaWQuaGgyanAxdDcxNW1iMg9pZC5laXY5bHlwdXNzMW0yD2lkLm9kN2N3emFhYzk1ZzIPaWQucDJ0NWJsanFiZDdiMg9pZC5kMHZ5Nm00b2hvM3cyD2lkLmIxMmh1MWtwNTd4MjIPaWQuNjdpZXNhNXR5ZW5tMg9pZC40eDFrNmlneDc5Mm0yD2lkLnhoanppMjJ0N29zMTIPaWQuYnNlOG51Njk0bzB0Mg9pZC5neHM1bm52bzRhaGMyD2lkLjR3a3pxNTVndmx0MzIPaWQucmRpYjJxamUwaDd2Mg9pZC5oOWh1d2dkZmtmNnIyD2lkLng1bjFpNGMxOXEyZjIPaWQuaDJyb2ZwY3d2dHNnMg9pZC5nMjVkbzFhenNrbXgyD2lkLjFxbTdkOHg4c3pjMDIOaWQuejZpeG1hemp0YXUyDmlkLjh6ZHdpYjA0MDNxMg9pZC5kNnZsdXgycjNzZ3MyD2lkLjhsa3pudjVzbm0wYzIPaWQubmV5d2FvbmFjbHNkMg5pZC5pa3A5cGNtZThzZzIPaWQueXI0YnN1bTBjY2E0Mg9pZC5icjFveTFqMG53ZngyD2lkLmNqNGJwMWtscjFnYTIPaWQuMWVsbTQzcjNla2YwMg9pZC5uem5iaXloOTA3anM4AGofChRzdWdnZXN0LjRkNWY3YXcxbzZ6aRIHRy4gUnVpemofChRzdWdnZXN0LmY3anBid3B4dTVsZBIHRy4gUnVpemoeChNzdWdnZXN0LnozdXUxODBhbDUyEgdHLiBSdWl6ah8KFHN1Z2dlc3QuZ2hpZzU0YjlzazlnEgdHLiBSdWl6ciExT0VOcW1QbThldDBjYXl5Z09OM09PQVNDTEppWlFEVW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0D54ED-5A13-0741-AD9D-2C854ED25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23</Pages>
  <Words>6017</Words>
  <Characters>34180</Characters>
  <Application>Microsoft Office Word</Application>
  <DocSecurity>0</DocSecurity>
  <Lines>683</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Hernandez</cp:lastModifiedBy>
  <cp:revision>30</cp:revision>
  <cp:lastPrinted>2026-10-03T06:23:00Z</cp:lastPrinted>
  <dcterms:created xsi:type="dcterms:W3CDTF">2026-09-29T03:09:00Z</dcterms:created>
  <dcterms:modified xsi:type="dcterms:W3CDTF">2026-10-03T06:29:00Z</dcterms:modified>
</cp:coreProperties>
</file>