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 (7) v5 adds a section on Wolbachia load in primary cell lines, a Discussion sentence, and Table S13; (8) v6 adds the count-based load measure and apoptosis genes to that section; (9) v7 moves the selection hypothesis into its own Discussion paragraph framed as an apoptotic bottleneck that aids early immortalization, and removes the infection-loss speculation (dilution by division, selection as a cause of infection loss) from the infection paragraph. hid and Diap1 per-cell correlations are missing from this run (the gene list used outdated symbols; fixed in the script, so rerun pseudotime_wolbachia_load to add them).</w:t>
      </w:r>
    </w:p>
    <w:p>
      <w:pPr>
        <w:shd w:fill="FFF4D6" w:color="auto" w:val="clear"/>
        <w:spacing w:after="60"/>
      </w:pPr>
      <w:r>
        <w:rPr>
          <w:rFonts w:ascii="Arial" w:cs="Arial" w:eastAsia="Arial" w:hAnsi="Arial"/>
          <w:color w:val="C00000"/>
          <w:sz w:val="18"/>
          <w:szCs w:val="18"/>
        </w:rPr>
        <w:t xml:space="preserve">Framing change (v4): the primary cell lines were sampled a few weeks after plating and are not the ancestors of the cell lines, which were established from the same stocks years to decades earlier. I removed trajectory, founder, precursor, and parental-embryo language, rewrote the selection model in the Discussion as convergence, and removed the timing claims about infection loss and titer. The embryo-versus-primary comparison is still a direct few-week change in culture; the primary-versus-cell-line comparison is now described as a comparison of states.</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w:t>
      </w:r>
      <w:r>
        <w:rPr>
          <w:rFonts w:ascii="Arial" w:cs="Arial" w:eastAsia="Arial" w:hAnsi="Arial"/>
          <w:color w:val="C00000"/>
        </w:rPr>
        <w:t xml:space="preserve">cell lines established from the same stocks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w:t>
      </w:r>
      <w:r>
        <w:rPr>
          <w:rFonts w:ascii="Arial" w:cs="Arial" w:eastAsia="Arial" w:hAnsi="Arial"/>
          <w:color w:val="C00000"/>
        </w:rPr>
        <w:t xml:space="preserve">each from the stock from which one or more of the cell lines above was established</w:t>
      </w:r>
      <w:r>
        <w:rPr>
          <w:rFonts w:ascii="Arial" w:cs="Arial" w:eastAsia="Arial" w:hAnsi="Arial"/>
        </w:rPr>
        <w:t xml:space="preser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w:t>
      </w:r>
      <w:r>
        <w:rPr>
          <w:rFonts w:ascii="Arial" w:cs="Arial" w:eastAsia="Arial" w:hAnsi="Arial"/>
          <w:color w:val="C00000"/>
        </w:rPr>
        <w:t xml:space="preserve">embryos from its own stock</w:t>
      </w:r>
      <w:r>
        <w:rPr>
          <w:rFonts w:ascii="Arial" w:cs="Arial" w:eastAsia="Arial" w:hAnsi="Arial"/>
        </w:rPr>
        <w:t xml:space="preserve">: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w:t>
      </w:r>
      <w:r>
        <w:rPr>
          <w:rFonts w:ascii="Arial" w:cs="Arial" w:eastAsia="Arial" w:hAnsi="Arial"/>
          <w:color w:val="C00000"/>
        </w:rPr>
        <w:t xml:space="preserve">Dsim-w-wRi-embryos from its own stock</w:t>
      </w:r>
      <w:r>
        <w:rPr>
          <w:rFonts w:ascii="Arial" w:cs="Arial" w:eastAsia="Arial" w:hAnsi="Arial"/>
        </w:rPr>
        <w:t xml:space="preserve"> (ρ = </w:t>
      </w:r>
      <w:r>
        <w:rPr>
          <w:rFonts w:ascii="Arial" w:cs="Arial" w:eastAsia="Arial" w:hAnsi="Arial"/>
          <w:color w:val="C00000"/>
        </w:rPr>
        <w:t xml:space="preserve">0.809</w:t>
      </w:r>
      <w:r>
        <w:rPr>
          <w:rFonts w:ascii="Arial" w:cs="Arial" w:eastAsia="Arial" w:hAnsi="Arial"/>
        </w:rPr>
        <w:t xml:space="preserve">). Only JW18wMel and Dsim-Merrill23 correlated best with </w:t>
      </w:r>
      <w:r>
        <w:rPr>
          <w:rFonts w:ascii="Arial" w:cs="Arial" w:eastAsia="Arial" w:hAnsi="Arial"/>
          <w:color w:val="C00000"/>
        </w:rPr>
        <w:t xml:space="preserve">embryos from their own stock</w:t>
      </w:r>
      <w:r>
        <w:rPr>
          <w:rFonts w:ascii="Arial" w:cs="Arial" w:eastAsia="Arial" w:hAnsi="Arial"/>
        </w:rPr>
        <w:t xml:space="preserve">; Dsim6B and Dsim6B-wMel ranked theirs second and ubkhc third of four (Table S10). Culture status was therefore a stronger determinant of pseudobulk transcriptome similarity than either species or </w:t>
      </w:r>
      <w:r>
        <w:rPr>
          <w:rFonts w:ascii="Arial" w:cs="Arial" w:eastAsia="Arial" w:hAnsi="Arial"/>
          <w:color w:val="C00000"/>
        </w:rPr>
        <w:t xml:space="preserve">the stock from which a cell line was established</w:t>
      </w:r>
      <w:r>
        <w:rPr>
          <w:rFonts w:ascii="Arial" w:cs="Arial" w:eastAsia="Arial" w:hAnsi="Arial"/>
        </w:rPr>
        <w:t xml:space="preserve">.</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color w:val="C00000"/>
        </w:rPr>
        <w:t xml:space="preserve">To compare each stock's embryos with early and long-established cultures, we added one primary-cell-line library per stock (5,892–6,156 cells each), sampled a few weeks after plating, and grouped samples into four lineages by stock:</w:t>
      </w:r>
      <w:r>
        <w:rPr>
          <w:rFonts w:ascii="Arial" w:cs="Arial" w:eastAsia="Arial" w:hAnsi="Arial"/>
        </w:rPr>
        <w:t xml:space="preserve">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t>
      </w:r>
      <w:r>
        <w:rPr>
          <w:rFonts w:ascii="Arial" w:cs="Arial" w:eastAsia="Arial" w:hAnsi="Arial"/>
          <w:color w:val="C00000"/>
        </w:rPr>
        <w:t xml:space="preserve">The primary cell lines are not the ancestors of the cell lines, which were established from the same stocks years to decades earlier, so the three stages within a lineage are related by stock rather than by descent.</w:t>
      </w:r>
      <w:r>
        <w:rPr>
          <w:rFonts w:ascii="Arial" w:cs="Arial" w:eastAsia="Arial" w:hAnsi="Arial"/>
        </w:rPr>
        <w:t xml:space="preserve">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w:t>
      </w:r>
      <w:r>
        <w:rPr>
          <w:rFonts w:ascii="Arial" w:cs="Arial" w:eastAsia="Arial" w:hAnsi="Arial"/>
          <w:color w:val="C00000"/>
        </w:rPr>
        <w:t xml:space="preserve">compared the stages</w:t>
      </w:r>
      <w:r>
        <w:rPr>
          <w:rFonts w:ascii="Arial" w:cs="Arial" w:eastAsia="Arial" w:hAnsi="Arial"/>
        </w:rPr>
        <w:t xml:space="preserve"> with pseudobulk differential expression instead, treating the four lineages as biological replicates (PyDESeq2; design ~ lineage + stage).</w:t>
      </w:r>
    </w:p>
    <w:p>
      <w:pPr>
        <w:pStyle w:val="Heading2"/>
      </w:pPr>
      <w:r>
        <w:rPr>
          <w:rFonts w:ascii="Arial" w:cs="Arial" w:eastAsia="Arial" w:hAnsi="Arial"/>
          <w:color w:val="C00000"/>
        </w:rPr>
        <w:t xml:space="preserve">Stage differences</w:t>
      </w:r>
      <w:r>
        <w:rPr>
          <w:rFonts w:ascii="Arial" w:cs="Arial" w:eastAsia="Arial" w:hAnsi="Arial"/>
        </w:rPr>
        <w:t xml:space="preserve"> are shared across species and lineages</w:t>
      </w:r>
    </w:p>
    <w:p>
      <w:pPr>
        <w:spacing w:after="160" w:line="276"/>
      </w:pPr>
      <w:r>
        <w:rPr>
          <w:rFonts w:ascii="Arial" w:cs="Arial" w:eastAsia="Arial" w:hAnsi="Arial"/>
          <w:color w:val="C00000"/>
        </w:rPr>
        <w:t xml:space="preserve">A few weeks of primary culture</w:t>
      </w:r>
      <w:r>
        <w:rPr>
          <w:rFonts w:ascii="Arial" w:cs="Arial" w:eastAsia="Arial" w:hAnsi="Arial"/>
        </w:rPr>
        <w:t xml:space="preserve"> changed 4,484 genes (2,125 up and 2,359 down in primary cell lines; adjusted p &lt; 0.05), and </w:t>
      </w:r>
      <w:r>
        <w:rPr>
          <w:rFonts w:ascii="Arial" w:cs="Arial" w:eastAsia="Arial" w:hAnsi="Arial"/>
          <w:color w:val="C00000"/>
        </w:rPr>
        <w:t xml:space="preserve">cell lines differed from primary cell lines at</w:t>
      </w:r>
      <w:r>
        <w:rPr>
          <w:rFonts w:ascii="Arial" w:cs="Arial" w:eastAsia="Arial" w:hAnsi="Arial"/>
        </w:rPr>
        <w:t xml:space="preserve"> 3,720 genes (287 up and 3,433 down in cell lines). All four lineages agreed in direction for 81% and 84% of these genes, respectively (12.5% expected by chance; binomial p &lt; 10⁻¹⁰⁰ for both), and a species-by-stage interaction affected only 195 genes in the </w:t>
      </w:r>
      <w:r>
        <w:rPr>
          <w:rFonts w:ascii="Arial" w:cs="Arial" w:eastAsia="Arial" w:hAnsi="Arial"/>
          <w:color w:val="C00000"/>
        </w:rPr>
        <w:t xml:space="preserve">primary-cell-line-versus-cell-line comparison</w:t>
      </w:r>
      <w:r>
        <w:rPr>
          <w:rFonts w:ascii="Arial" w:cs="Arial" w:eastAsia="Arial" w:hAnsi="Arial"/>
        </w:rPr>
        <w:t xml:space="preserve">.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w:t>
      </w:r>
      <w:r>
        <w:rPr>
          <w:rFonts w:ascii="Arial" w:cs="Arial" w:eastAsia="Arial" w:hAnsi="Arial"/>
          <w:color w:val="C00000"/>
        </w:rPr>
        <w:t xml:space="preserve">comparisons</w:t>
      </w:r>
      <w:r>
        <w:rPr>
          <w:rFonts w:ascii="Arial" w:cs="Arial" w:eastAsia="Arial" w:hAnsi="Arial"/>
        </w:rPr>
        <w:t xml:space="preserve">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w:t>
      </w:r>
      <w:r>
        <w:rPr>
          <w:rFonts w:ascii="Arial" w:cs="Arial" w:eastAsia="Arial" w:hAnsi="Arial"/>
          <w:i/>
          <w:iCs/>
          <w:color w:val="C00000"/>
          <w:sz w:val="18"/>
          <w:szCs w:val="18"/>
        </w:rPr>
        <w:t xml:space="preserve">differences</w:t>
      </w:r>
      <w:r>
        <w:rPr>
          <w:rFonts w:ascii="Arial" w:cs="Arial" w:eastAsia="Arial" w:hAnsi="Arial"/>
          <w:i/>
          <w:iCs/>
          <w:sz w:val="18"/>
          <w:szCs w:val="18"/>
        </w:rPr>
        <w:t xml:space="preserve">.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w:t>
      </w:r>
      <w:r>
        <w:rPr>
          <w:rFonts w:ascii="Arial" w:cs="Arial" w:eastAsia="Arial" w:hAnsi="Arial"/>
          <w:color w:val="C00000"/>
        </w:rPr>
        <w:t xml:space="preserve">comparison</w:t>
      </w:r>
      <w:r>
        <w:rPr>
          <w:rFonts w:ascii="Arial" w:cs="Arial" w:eastAsia="Arial" w:hAnsi="Arial"/>
        </w:rPr>
        <w:t xml:space="preserve">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w:t>
      </w:r>
      <w:r>
        <w:rPr>
          <w:rFonts w:ascii="Arial" w:cs="Arial" w:eastAsia="Arial" w:hAnsi="Arial"/>
          <w:color w:val="C00000"/>
        </w:rPr>
        <w:t xml:space="preserve">partly resemble cell lines</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w:t>
      </w:r>
      <w:r>
        <w:rPr>
          <w:rFonts w:ascii="Arial" w:cs="Arial" w:eastAsia="Arial" w:hAnsi="Arial"/>
          <w:color w:val="C00000"/>
        </w:rPr>
        <w:t xml:space="preserve">, so we did not analyze them further</w:t>
      </w:r>
      <w:r>
        <w:rPr>
          <w:rFonts w:ascii="Arial" w:cs="Arial" w:eastAsia="Arial" w:hAnsi="Arial"/>
        </w:rPr>
        <w:t xml:space="preserve">.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color w:val="C00000"/>
        </w:rPr>
        <w:t xml:space="preserve">PVR, not EGFR, is the dominant receptor tyrosine kinase of cell lines</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2"/>
      </w:pPr>
      <w:r>
        <w:rPr>
          <w:rFonts w:ascii="Arial" w:cs="Arial" w:eastAsia="Arial" w:hAnsi="Arial"/>
          <w:color w:val="C00000"/>
        </w:rPr>
        <w:t xml:space="preserve">Cells with more Wolbachia are less cell-line-like and express more pro-apoptotic genes within primary cell lines</w:t>
      </w:r>
    </w:p>
    <w:p>
      <w:pPr>
        <w:spacing w:after="160" w:line="276"/>
      </w:pPr>
      <w:r>
        <w:rPr>
          <w:rFonts w:ascii="Arial" w:cs="Arial" w:eastAsia="Arial" w:hAnsi="Arial"/>
          <w:color w:val="C00000"/>
        </w:rPr>
        <w:t xml:space="preserve">To ask whether Wolbachia load in early culture relates to the cell-line state, we measured load as the fraction of each cell's UMIs from Wolbachia genes, because the rRNA-based titer saturates near 1 in both D. simulans primary cell lines. wRi-infected D. simulans embryos carried more Wolbachia than wMel-infected D. melanogaster embryos (median 1.9% and 3.9% versus 1.0% and 1.1% of UMIs), and wRi kept more of it after a few weeks in culture (54% and 80% of the embryo load, versus 25% and 31% for wMel), so the Dsim_w primary cell line carried 13 times more Wolbachia per cell than the Dmel_Ubkhc primary cell line (3.2% versus 0.25%). Host species, Wolbachia strain, and load are confounded across the four lineages, so we treat these differences as descriptive. Within each primary cell line, we correlated per-cell load with cell-state scores, controlling for host UMIs and marker-based cell state (partial Spearman; BH-adjusted; combined across lineages by Stouffer's method; Table S13). In three of four lineages, cells with more Wolbachia scored lower for the shared cell-line signature (ρ = −0.11 to −0.24; Dmel_Ubkhc ρ = 0.04; combined p &lt; 10⁻¹⁰) and for OXPHOS genes (ρ = −0.16 to −0.27), and higher for the antimicrobial-peptide program (ρ = 0.09 to 0.23). Load correlated weakly and positively with apoptosis genes in all four lineages (ρ = 0.003 to 0.08; significant in three) and negatively with proliferation in two (ρ = −0.04 and −0.08). The fraction of proliferating cells fell from the lowest to the highest load quintile in every lineage (7.1% to 3.4% in Dmel_JupiterGFP, 3.0% to 1.6% in Dmel_Ubkhc, 12.0% to 9.8% in Dsim-Merrill23, and 0.5% to 0% in Dsim_w). Because load is a ratio to host UMIs, cells with less host transcription score higher, and dividing cells split their bacteria between daughters, so these associations may partly reflect cell activity rather than an effect of Wolbachia. They do not support the idea that heavily infected cells in early culture are the most cell-line-like. The same associations held when we measured load as raw Wolbachia UMIs with host UMIs as a covariate, avoiding the ratio (cell-line signature ρ = −0.10 to −0.14 in three lineages; Dmel_Ubkhc ρ = 0.08). Heavily infected cells instead expressed more pro-apoptotic genes: reaper (ρ = 0.05 to 0.10), sickle (0.03 to 0.09), p53 (0.03 to 0.06), and the effector caspase Dcp-1 (0.05 to 0.08) rose with load in all four lineages (adjusted p &lt; 0.05), and grim in three (0.03 to 0.07), whereas the death inhibitor Diap2, the caspase Drice, and the JNK feedback gene puc did not rise (ρ = −0.03 to 0.02). Two genes did not fit this pattern: the anti-apoptotic Bcl-2 family gene Buffy rose with load (ρ = 0.04 to 0.07; expressed in 3–4% of cells), and the pro-apoptotic Debcl fell in three lineages. These effects were small, and grim and sickle were detected in only 1–11% of cells. Infected cell lines also expressed more reaper and hid than uninfected cell lines of the same species (JW18wMel versus ubkhc, reaper log2 CPM 6.8 versus 1.2 and hid 8.8 versus 5.9; Dsim6B-wMel versus Dsim6B and Dsim-Merrill23, reaper 7.9 versus 3.7 and 4.5 and hid 6.5 versus 3.5 and 4.3), with similar Diap1 (8.2–8.5), although each comparison involves a single infected line.</w:t>
      </w:r>
    </w:p>
    <w:p>
      <w:pPr>
        <w:pStyle w:val="Heading1"/>
      </w:pPr>
      <w:r>
        <w:rPr>
          <w:rFonts w:ascii="Arial" w:cs="Arial" w:eastAsia="Arial" w:hAnsi="Arial"/>
        </w:rPr>
        <w:t xml:space="preserve">Discussion</w:t>
      </w:r>
    </w:p>
    <w:p>
      <w:pPr>
        <w:spacing w:after="160" w:line="276"/>
      </w:pPr>
      <w:r>
        <w:rPr>
          <w:rFonts w:ascii="Arial" w:cs="Arial" w:eastAsia="Arial" w:hAnsi="Arial"/>
          <w:color w:val="C00000"/>
        </w:rPr>
        <w:t xml:space="preserve">Considered together, these results suggest that cell lines established from dissociated embryos converge on a shared proliferative program rather than preserving a single embryonic tissue.</w:t>
      </w:r>
      <w:r>
        <w:rPr>
          <w:rFonts w:ascii="Arial" w:cs="Arial" w:eastAsia="Arial" w:hAnsi="Arial"/>
        </w:rPr>
        <w:t xml:space="preserve"> Embryo samples retained the full range of dissociated embryonic cell types, while every cell line examined here, independent of host species or Wolbachia infection, converged on the same hemolymph-dominated, proliferative profile. </w:t>
      </w:r>
      <w:r>
        <w:rPr>
          <w:rFonts w:ascii="Arial" w:cs="Arial" w:eastAsia="Arial" w:hAnsi="Arial"/>
          <w:color w:val="C00000"/>
        </w:rPr>
        <w:t xml:space="preserve">Three observations support convergence.</w:t>
      </w:r>
      <w:r>
        <w:rPr>
          <w:rFonts w:ascii="Arial" w:cs="Arial" w:eastAsia="Arial" w:hAnsi="Arial"/>
        </w:rPr>
        <w:t xml:space="preserve"> Cell lines resembled one another more than </w:t>
      </w:r>
      <w:r>
        <w:rPr>
          <w:rFonts w:ascii="Arial" w:cs="Arial" w:eastAsia="Arial" w:hAnsi="Arial"/>
          <w:color w:val="C00000"/>
        </w:rPr>
        <w:t xml:space="preserve">embryos from their own stocks</w:t>
      </w:r>
      <w:r>
        <w:rPr>
          <w:rFonts w:ascii="Arial" w:cs="Arial" w:eastAsia="Arial" w:hAnsi="Arial"/>
        </w:rPr>
        <w:t xml:space="preserve">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w:t>
      </w:r>
      <w:r>
        <w:rPr>
          <w:rFonts w:ascii="Arial" w:cs="Arial" w:eastAsia="Arial" w:hAnsi="Arial"/>
          <w:color w:val="C00000"/>
        </w:rPr>
        <w:t xml:space="preserve">The differences between primary cell lines and cell lines were shared across four stocks in two species, with 84% of changed genes differing in the same direction in every stock.</w:t>
      </w:r>
      <w:r>
        <w:rPr>
          <w:rFonts w:ascii="Arial" w:cs="Arial" w:eastAsia="Arial" w:hAnsi="Arial"/>
        </w:rPr>
        <w:t xml:space="preserv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w:t>
      </w:r>
      <w:r>
        <w:rPr>
          <w:rFonts w:ascii="Arial" w:cs="Arial" w:eastAsia="Arial" w:hAnsi="Arial"/>
          <w:color w:val="C00000"/>
        </w:rPr>
        <w:t xml:space="preserve">difference</w:t>
      </w:r>
      <w:r>
        <w:rPr>
          <w:rFonts w:ascii="Arial" w:cs="Arial" w:eastAsia="Arial" w:hAnsi="Arial"/>
        </w:rPr>
        <w:t xml:space="preserve">, beyond cell-cycle and ribosome genes and independent of sequencing depth</w:t>
      </w:r>
      <w:r>
        <w:rPr>
          <w:rFonts w:ascii="Arial" w:cs="Arial" w:eastAsia="Arial" w:hAnsi="Arial"/>
          <w:color w:val="C00000"/>
        </w:rPr>
        <w:t xml:space="preserve">, which suggests that proliferation in culture favors this program. The primary cell lines we sequenced are not the ancestors of the cell lines, which were established from the same stocks years to decades earlier, so these data cannot identify the cells that founded the cell lines or distinguish selection of pre-existing cells from later adaptation. The differences between primary cell lines and cell lines also combine the changes of establishment with years of adaptation to culture.</w:t>
      </w:r>
    </w:p>
    <w:p>
      <w:pPr>
        <w:spacing w:after="160" w:line="276"/>
      </w:pPr>
      <w:r>
        <w:rPr>
          <w:rFonts w:ascii="Arial" w:cs="Arial" w:eastAsia="Arial" w:hAnsi="Arial"/>
        </w:rPr>
        <w:t xml:space="preserve">The shared cell-line program suggests three mechanisms that could </w:t>
      </w:r>
      <w:r>
        <w:rPr>
          <w:rFonts w:ascii="Arial" w:cs="Arial" w:eastAsia="Arial" w:hAnsi="Arial"/>
          <w:color w:val="C00000"/>
        </w:rPr>
        <w:t xml:space="preserve">maintain proliferation in established cell lines</w:t>
      </w:r>
      <w:r>
        <w:rPr>
          <w:rFonts w:ascii="Arial" w:cs="Arial" w:eastAsia="Arial" w:hAnsi="Arial"/>
        </w:rPr>
        <w:t xml:space="preserve">.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w:t>
      </w:r>
      <w:r>
        <w:rPr>
          <w:rFonts w:ascii="Arial" w:cs="Arial" w:eastAsia="Arial" w:hAnsi="Arial"/>
          <w:color w:val="C00000"/>
        </w:rPr>
        <w:t xml:space="preserve">proliferation in early culture</w:t>
      </w:r>
      <w:r>
        <w:rPr>
          <w:rFonts w:ascii="Arial" w:cs="Arial" w:eastAsia="Arial" w:hAnsi="Arial"/>
        </w:rPr>
        <w:t xml:space="preserve">.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color w:val="C00000"/>
        </w:rPr>
        <w:t xml:space="preserve">Wolbachia could aid early immortalization by imposing an apoptotic bottleneck. Every cell line here silenced grim and sickle (log2 CPM ≤ 1.3), both of which lie entirely within embryonic H3K27me3 domains, together with Buffy, so escaping H99-driven apoptosis appears to be a shared feature of established cell lines. Within primary cell lines, heavily infected cells expressed more reaper, sickle, grim, p53, and Dcp-1, and infected cell lines expressed more reaper and hid than uninfected cell lines of the same species. If Wolbachia raises pro-apoptotic signaling, cultures with more Wolbachia would eliminate cells that cannot silence these genes more quickly and so enrich early for the apoptosis-resistant cells that can found a cell line. Under this model, Wolbachia aids immortalization at the level of the culture, by strengthening selection, rather than by helping the cells it infects, which fits our observation that the most heavily infected cells were the least cell-line-like. The model also fits the species difference: after a few weeks in culture, wRi-infected D. simulans primary cell lines carried 3 to 13 times more Wolbachia per cell than wMel-infected D. melanogaster primary cell lines (1.0% and 3.2% versus 0.25% and 0.33% of UMIs), and the highest-load culture, Dsim_w, had the highest grim, sickle, and reaper expression of the four primary cell lines (log2 CPM 3.2, 3.9, and 6.6). Our data support only the first step of this model. The within-culture associations are small (ρ ≤ 0.10), pro-apoptotic transcripts do not show that more cells die, host species, Wolbachia strain, and load are confounded across the four lineages, and with one culture per stock we cannot relate load to how often cultures immortalize. Three approaches would test the model: staining the existing FISH preparations for cleaved Dcp-1 or TUNEL to ask whether heavily infected cells die more often; following replicate primary cultures from infected and tetracycline-cured flies of the same stock to compare early cell death, H99 silencing, and establishment rates; and comparing the lab's establishment records for infected and uninfected stocks of each species.</w:t>
      </w:r>
    </w:p>
    <w:p>
      <w:pPr>
        <w:spacing w:after="160" w:line="276"/>
      </w:pPr>
      <w:r>
        <w:rPr>
          <w:rFonts w:ascii="Arial" w:cs="Arial" w:eastAsia="Arial" w:hAnsi="Arial"/>
        </w:rPr>
        <w:t xml:space="preserve">This dataset provides little evidence that Wolbachia infection status determines </w:t>
      </w:r>
      <w:r>
        <w:rPr>
          <w:rFonts w:ascii="Arial" w:cs="Arial" w:eastAsia="Arial" w:hAnsi="Arial"/>
          <w:color w:val="C00000"/>
        </w:rPr>
        <w:t xml:space="preserve">which cell types dominate established cell lines</w:t>
      </w:r>
      <w:r>
        <w:rPr>
          <w:rFonts w:ascii="Arial" w:cs="Arial" w:eastAsia="Arial" w:hAnsi="Arial"/>
        </w:rPr>
        <w:t xml:space="preserve">: the same hemolymph-dominated composition was observed in infected cell lines (Dsim6B-wMel, JW18wMel) and uninfected cell lines (Dsim6B, Dsim-Merrill23, ubkhc) alike. Infection was, however, often lost </w:t>
      </w:r>
      <w:r>
        <w:rPr>
          <w:rFonts w:ascii="Arial" w:cs="Arial" w:eastAsia="Arial" w:hAnsi="Arial"/>
          <w:color w:val="C00000"/>
        </w:rPr>
        <w:t xml:space="preserve">in culture</w:t>
      </w:r>
      <w:r>
        <w:rPr>
          <w:rFonts w:ascii="Arial" w:cs="Arial" w:eastAsia="Arial" w:hAnsi="Arial"/>
        </w:rPr>
        <w:t xml:space="preserve">. Of the three lineages whose natural infection entered culture without intervention, two lost it: ubkhc lost wMel and Dsim-Merrill23 lost wRi, whereas JW18wMel kept wMel. </w:t>
      </w:r>
      <w:r>
        <w:rPr>
          <w:rFonts w:ascii="Arial" w:cs="Arial" w:eastAsia="Arial" w:hAnsi="Arial"/>
          <w:color w:val="C00000"/>
        </w:rPr>
        <w:t xml:space="preserve">Primary cell lines from the ubkhc and Merrill23 stocks remained infected after several weeks in culture (0.3% and 1.2% of UMIs; 99.7% and more than 99.9% of cells with Wolbachia reads), so infection is not lost early in culture as a rule, but we cannot date when the established ubkhc and Dsim-Merrill23 cell lines lost infection.</w:t>
      </w:r>
      <w:r>
        <w:rPr>
          <w:rFonts w:ascii="Arial" w:cs="Arial" w:eastAsia="Arial" w:hAnsi="Arial"/>
        </w:rPr>
        <w:t xml:space="preserve">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Titer was also high after a few weeks in culture: both D. simulans primary cell lines were near saturation (median 0.95 and 0.97; 89% and 95% of cells at or above 0.9), and the JupiterGFP primary cell line (median 0.86; 28%) exceeded JupiterGFP-wMel embryos (0.67; 1%), although it fell below the long-established JW18wMel line (0.95; 93%). With two infected cell lines the embryo-versus-cell-line difference cannot reach significance (the smallest attainable exact p is 0.13), so we treat it as descriptive. Because the primary cell lines are not the ancestors of the cell lines, these values describe separate culture states rather than a trajectory.</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w:t>
      </w:r>
      <w:r>
        <w:rPr>
          <w:rFonts w:ascii="Arial" w:cs="Arial" w:eastAsia="Arial" w:hAnsi="Arial"/>
          <w:color w:val="C00000"/>
        </w:rPr>
        <w:t xml:space="preserve">put infected cells at a disadvantage in long-term culture</w:t>
      </w:r>
      <w:r>
        <w:rPr>
          <w:rFonts w:ascii="Arial" w:cs="Arial" w:eastAsia="Arial" w:hAnsi="Arial"/>
        </w:rPr>
        <w:t xml:space="preserve">.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w:t>
      </w:r>
      <w:r>
        <w:rPr>
          <w:rFonts w:ascii="Arial" w:cs="Arial" w:eastAsia="Arial" w:hAnsi="Arial"/>
          <w:color w:val="C00000"/>
          <w:sz w:val="18"/>
          <w:szCs w:val="18"/>
        </w:rPr>
        <w:t xml:space="preserve">same-stock embryo</w:t>
      </w:r>
      <w:r>
        <w:rPr>
          <w:rFonts w:ascii="Arial" w:cs="Arial" w:eastAsia="Arial" w:hAnsi="Arial"/>
          <w:sz w:val="18"/>
          <w:szCs w:val="18"/>
        </w:rPr>
        <w:t xml:space="preserve">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spacing w:after="80"/>
      </w:pPr>
      <w:r>
        <w:rPr>
          <w:rFonts w:ascii="Arial" w:cs="Arial" w:eastAsia="Arial" w:hAnsi="Arial"/>
          <w:color w:val="C00000"/>
          <w:sz w:val="18"/>
          <w:szCs w:val="18"/>
        </w:rPr>
        <w:t xml:space="preserve">Table S13. Wolbachia load by lineage and stage, within-culture partial correlations with cell-state scores and apoptosis genes (fraction and count load measures), and load quintiles (results/pseudotime/wolbachia_load/load_by_sample.csv, within_culture.csv, within_culture_combined.csv, quintiles.csv, quintiles.pdf).</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2026-10-01T00:21:29.189Z</dcterms:created>
  <dcterms:modified xsi:type="dcterms:W3CDTF">2026-10-01T00:21:29.194Z</dcterms:modified>
</cp:coreProperties>
</file>

<file path=docProps/custom.xml><?xml version="1.0" encoding="utf-8"?>
<Properties xmlns="http://schemas.openxmlformats.org/officeDocument/2006/custom-properties" xmlns:vt="http://schemas.openxmlformats.org/officeDocument/2006/docPropsVTypes"/>
</file>