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PANTON SCHEDULING STANDARD OPERATING PROCEDURES v4.0</w:t>
      </w:r>
    </w:p>
    <w:p>
      <w:pPr>
        <w:pStyle w:val="Subtitle"/>
        <w:jc w:val="center"/>
      </w:pPr>
      <w:r>
        <w:t>35th Fighter Squadron | CAO 17 Sept 2026</w:t>
      </w:r>
    </w:p>
    <w:tbl>
      <w:tblPr>
        <w:tblW w:type="auto" w:w="0"/>
        <w:jc w:val="center"/>
        <w:tblLayout w:type="autofit"/>
        <w:tblLook w:firstColumn="1" w:firstRow="1" w:lastColumn="0" w:lastRow="0" w:noHBand="0" w:noVBand="1" w:val="04A0"/>
      </w:tblPr>
      <w:tblGrid>
        <w:gridCol w:w="10512"/>
      </w:tblGrid>
      <w:tr>
        <w:tc>
          <w:tcPr>
            <w:tcW w:type="dxa" w:w="10512"/>
            <w:shd w:fill="FFF2CC"/>
            <w:tcMar>
              <w:top w:w="90" w:type="dxa"/>
              <w:start w:w="110" w:type="dxa"/>
              <w:bottom w:w="90" w:type="dxa"/>
              <w:end w:w="110" w:type="dxa"/>
            </w:tcMar>
          </w:tcPr>
          <w:p>
            <w:pPr>
              <w:spacing w:after="0"/>
            </w:pPr>
            <w:r>
              <w:rPr>
                <w:rFonts w:ascii="Arial" w:hAnsi="Arial"/>
                <w:b/>
                <w:color w:val="1F4E78"/>
                <w:sz w:val="18"/>
              </w:rPr>
              <w:t xml:space="preserve">DEFAULT TARGET WEEK: </w:t>
            </w:r>
            <w:r>
              <w:rPr>
                <w:rFonts w:ascii="Arial" w:hAnsi="Arial"/>
                <w:sz w:val="18"/>
              </w:rPr>
              <w:t>Unless specifically directed otherwise, weekly scheduling work and the AI workflow apply to the next execution week (Week + 1). The AI infers the exact dates, workflow step, active version, and baselines from the folder name, uploaded products, schedule headers, and conversation. It does not require the operator to complete a startup questionnaire; it asks only when an ambiguity materially affects the work.</w:t>
            </w:r>
          </w:p>
        </w:tc>
      </w:tr>
    </w:tbl>
    <w:p>
      <w:pPr>
        <w:spacing w:after="0"/>
      </w:pPr>
    </w:p>
    <w:p>
      <w:pPr>
        <w:pStyle w:val="Heading1"/>
      </w:pPr>
      <w:r>
        <w:t>1. PURPOSE AND SCOPE</w:t>
      </w:r>
    </w:p>
    <w:p>
      <w:r>
        <w:t>This SOP establishes the 35 FS process for collecting scheduling inputs, planning and building the Week + 1 schedule, integrating functional-owner review, conducting full quality control, obtaining the Director of Operations (DO) buy, publishing the authoritative weekly schedule, and controlling execution-week changes.</w:t>
      </w:r>
    </w:p>
    <w:p>
      <w:r>
        <w:t>The schedule is human-owned. Schedulers create and edit the lineup. The DO owns the weekly scheduling decision. The AI assistant consolidates evidence, answers planning questions, reviews human-built drafts, recommends changes, and performs QC. It does not edit operational source files, coordinate, approve, publish, grant waivers, or replace functional source owners.</w:t>
      </w:r>
    </w:p>
    <w:p>
      <w:r>
        <w:t>This SOP does not replace governing publications, the approved Local Profile, repository system instructions, or explicit DO direction. Where a local continuity statement conflicts with a controlling source, the controlling source and current human direction govern.</w:t>
      </w:r>
    </w:p>
    <w:p>
      <w:pPr>
        <w:pStyle w:val="Heading1"/>
      </w:pPr>
      <w:r>
        <w:t>2. DELINEATION OF RESPONSIBILITIES</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376"/>
            <w:shd w:fill="5B9BD5"/>
            <w:tcMar>
              <w:top w:w="55" w:type="dxa"/>
              <w:start w:w="65" w:type="dxa"/>
              <w:bottom w:w="55" w:type="dxa"/>
              <w:end w:w="65" w:type="dxa"/>
            </w:tcMar>
            <w:vAlign w:val="center"/>
          </w:tcPr>
          <w:p>
            <w:pPr>
              <w:spacing w:after="0"/>
              <w:jc w:val="center"/>
            </w:pPr>
            <w:r>
              <w:rPr>
                <w:rFonts w:ascii="Arial" w:hAnsi="Arial"/>
                <w:b/>
                <w:color w:val="FFFFFF"/>
                <w:sz w:val="17"/>
              </w:rPr>
              <w:t>Owner</w:t>
            </w:r>
          </w:p>
        </w:tc>
        <w:tc>
          <w:tcPr>
            <w:tcW w:type="dxa" w:w="8280"/>
            <w:shd w:fill="5B9BD5"/>
            <w:tcMar>
              <w:top w:w="55" w:type="dxa"/>
              <w:start w:w="65" w:type="dxa"/>
              <w:bottom w:w="55" w:type="dxa"/>
              <w:end w:w="65" w:type="dxa"/>
            </w:tcMar>
            <w:vAlign w:val="center"/>
          </w:tcPr>
          <w:p>
            <w:pPr>
              <w:spacing w:after="0"/>
              <w:jc w:val="center"/>
            </w:pPr>
            <w:r>
              <w:rPr>
                <w:rFonts w:ascii="Arial" w:hAnsi="Arial"/>
                <w:b/>
                <w:color w:val="FFFFFF"/>
                <w:sz w:val="17"/>
              </w:rPr>
              <w:t>Primary scheduling responsibility</w:t>
            </w:r>
          </w:p>
        </w:tc>
      </w:tr>
      <w:tr>
        <w:trPr>
          <w:cantSplit/>
        </w:trPr>
        <w:tc>
          <w:tcPr>
            <w:tcW w:type="dxa" w:w="2376"/>
            <w:tcMar>
              <w:top w:w="55" w:type="dxa"/>
              <w:start w:w="65" w:type="dxa"/>
              <w:bottom w:w="55" w:type="dxa"/>
              <w:end w:w="65" w:type="dxa"/>
            </w:tcMar>
            <w:vAlign w:val="top"/>
          </w:tcPr>
          <w:p>
            <w:pPr>
              <w:spacing w:after="0"/>
            </w:pPr>
            <w:r>
              <w:rPr>
                <w:rFonts w:ascii="Arial" w:hAnsi="Arial"/>
                <w:sz w:val="17"/>
              </w:rPr>
              <w:t>Directors of Operations</w:t>
            </w:r>
          </w:p>
        </w:tc>
        <w:tc>
          <w:tcPr>
            <w:tcW w:type="dxa" w:w="8280"/>
            <w:tcMar>
              <w:top w:w="55" w:type="dxa"/>
              <w:start w:w="65" w:type="dxa"/>
              <w:bottom w:w="55" w:type="dxa"/>
              <w:end w:w="65" w:type="dxa"/>
            </w:tcMar>
            <w:vAlign w:val="top"/>
          </w:tcPr>
          <w:p>
            <w:pPr>
              <w:spacing w:after="0"/>
            </w:pPr>
            <w:r>
              <w:rPr>
                <w:rFonts w:ascii="Arial" w:hAnsi="Arial"/>
                <w:sz w:val="17"/>
              </w:rPr>
              <w:t>Own the squadron schedule, establish priorities, make the formal Thursday Buy/Sell decision, decide issues outside delegated authority, and route waivers to the applicable waiver authority.</w:t>
            </w:r>
          </w:p>
        </w:tc>
      </w:tr>
      <w:tr>
        <w:trPr>
          <w:cantSplit/>
        </w:trPr>
        <w:tc>
          <w:tcPr>
            <w:tcW w:type="dxa" w:w="2376"/>
            <w:tcMar>
              <w:top w:w="55" w:type="dxa"/>
              <w:start w:w="65" w:type="dxa"/>
              <w:bottom w:w="55" w:type="dxa"/>
              <w:end w:w="65" w:type="dxa"/>
            </w:tcMar>
            <w:vAlign w:val="top"/>
          </w:tcPr>
          <w:p>
            <w:pPr>
              <w:spacing w:after="0"/>
            </w:pPr>
            <w:r>
              <w:rPr>
                <w:rFonts w:ascii="Arial" w:hAnsi="Arial"/>
                <w:sz w:val="17"/>
              </w:rPr>
              <w:t>Weapons / DOW</w:t>
            </w:r>
          </w:p>
        </w:tc>
        <w:tc>
          <w:tcPr>
            <w:tcW w:type="dxa" w:w="8280"/>
            <w:tcMar>
              <w:top w:w="55" w:type="dxa"/>
              <w:start w:w="65" w:type="dxa"/>
              <w:bottom w:w="55" w:type="dxa"/>
              <w:end w:w="65" w:type="dxa"/>
            </w:tcMar>
            <w:vAlign w:val="top"/>
          </w:tcPr>
          <w:p>
            <w:pPr>
              <w:spacing w:after="0"/>
            </w:pPr>
            <w:r>
              <w:rPr>
                <w:rFonts w:ascii="Arial" w:hAnsi="Arial"/>
                <w:sz w:val="17"/>
              </w:rPr>
              <w:t>Maintain the squadron training/phase plan, oversee phase managers and weapons academics, coordinate drop/configuration priorities, and provide upgrade priorities or instructor restrictions as directed.</w:t>
            </w:r>
          </w:p>
        </w:tc>
      </w:tr>
      <w:tr>
        <w:trPr>
          <w:cantSplit/>
        </w:trPr>
        <w:tc>
          <w:tcPr>
            <w:tcW w:type="dxa" w:w="2376"/>
            <w:tcMar>
              <w:top w:w="55" w:type="dxa"/>
              <w:start w:w="65" w:type="dxa"/>
              <w:bottom w:w="55" w:type="dxa"/>
              <w:end w:w="65" w:type="dxa"/>
            </w:tcMar>
            <w:vAlign w:val="top"/>
          </w:tcPr>
          <w:p>
            <w:pPr>
              <w:spacing w:after="0"/>
            </w:pPr>
            <w:r>
              <w:rPr>
                <w:rFonts w:ascii="Arial" w:hAnsi="Arial"/>
                <w:sz w:val="17"/>
              </w:rPr>
              <w:t>Flight Commanders</w:t>
            </w:r>
          </w:p>
        </w:tc>
        <w:tc>
          <w:tcPr>
            <w:tcW w:type="dxa" w:w="8280"/>
            <w:tcMar>
              <w:top w:w="55" w:type="dxa"/>
              <w:start w:w="65" w:type="dxa"/>
              <w:bottom w:w="55" w:type="dxa"/>
              <w:end w:w="65" w:type="dxa"/>
            </w:tcMar>
            <w:vAlign w:val="top"/>
          </w:tcPr>
          <w:p>
            <w:pPr>
              <w:spacing w:after="0"/>
            </w:pPr>
            <w:r>
              <w:rPr>
                <w:rFonts w:ascii="Arial" w:hAnsi="Arial"/>
                <w:sz w:val="17"/>
              </w:rPr>
              <w:t>Submit personnel and upgrade priorities, surface performance or workload concerns, resolve or elevate availability conflicts, and participate in Wednesday integration and Thursday Buy/Sell as required.</w:t>
            </w:r>
          </w:p>
        </w:tc>
      </w:tr>
      <w:tr>
        <w:trPr>
          <w:cantSplit/>
        </w:trPr>
        <w:tc>
          <w:tcPr>
            <w:tcW w:type="dxa" w:w="2376"/>
            <w:tcMar>
              <w:top w:w="55" w:type="dxa"/>
              <w:start w:w="65" w:type="dxa"/>
              <w:bottom w:w="55" w:type="dxa"/>
              <w:end w:w="65" w:type="dxa"/>
            </w:tcMar>
            <w:vAlign w:val="top"/>
          </w:tcPr>
          <w:p>
            <w:pPr>
              <w:spacing w:after="0"/>
            </w:pPr>
            <w:r>
              <w:rPr>
                <w:rFonts w:ascii="Arial" w:hAnsi="Arial"/>
                <w:sz w:val="17"/>
              </w:rPr>
              <w:t>Weekly Scheduler</w:t>
            </w:r>
          </w:p>
        </w:tc>
        <w:tc>
          <w:tcPr>
            <w:tcW w:type="dxa" w:w="8280"/>
            <w:tcMar>
              <w:top w:w="55" w:type="dxa"/>
              <w:start w:w="65" w:type="dxa"/>
              <w:bottom w:w="55" w:type="dxa"/>
              <w:end w:w="65" w:type="dxa"/>
            </w:tcMar>
            <w:vAlign w:val="top"/>
          </w:tcPr>
          <w:p>
            <w:pPr>
              <w:spacing w:after="0"/>
            </w:pPr>
            <w:r>
              <w:rPr>
                <w:rFonts w:ascii="Arial" w:hAnsi="Arial"/>
                <w:sz w:val="17"/>
              </w:rPr>
              <w:t>Build the Week + 1 lineup, maintain version control, run the Wednesday integration review, complete the human checklist, present the Thursday Buy/Sell package, implement recorded direction, and prepare the publication candidate.</w:t>
            </w:r>
          </w:p>
        </w:tc>
      </w:tr>
      <w:tr>
        <w:trPr>
          <w:cantSplit/>
        </w:trPr>
        <w:tc>
          <w:tcPr>
            <w:tcW w:type="dxa" w:w="2376"/>
            <w:tcMar>
              <w:top w:w="55" w:type="dxa"/>
              <w:start w:w="65" w:type="dxa"/>
              <w:bottom w:w="55" w:type="dxa"/>
              <w:end w:w="65" w:type="dxa"/>
            </w:tcMar>
            <w:vAlign w:val="top"/>
          </w:tcPr>
          <w:p>
            <w:pPr>
              <w:spacing w:after="0"/>
            </w:pPr>
            <w:r>
              <w:rPr>
                <w:rFonts w:ascii="Arial" w:hAnsi="Arial"/>
                <w:sz w:val="17"/>
              </w:rPr>
              <w:t>Daily Scheduler / Top 3</w:t>
            </w:r>
          </w:p>
        </w:tc>
        <w:tc>
          <w:tcPr>
            <w:tcW w:type="dxa" w:w="8280"/>
            <w:tcMar>
              <w:top w:w="55" w:type="dxa"/>
              <w:start w:w="65" w:type="dxa"/>
              <w:bottom w:w="55" w:type="dxa"/>
              <w:end w:w="65" w:type="dxa"/>
            </w:tcMar>
            <w:vAlign w:val="top"/>
          </w:tcPr>
          <w:p>
            <w:pPr>
              <w:spacing w:after="0"/>
            </w:pPr>
            <w:r>
              <w:rPr>
                <w:rFonts w:ascii="Arial" w:hAnsi="Arial"/>
                <w:sz w:val="17"/>
              </w:rPr>
              <w:t>Manage delegated execution-week reflows, complete daily approval/signoff processes, notify affected personnel, and elevate significant changes or changes outside delegation.</w:t>
            </w:r>
          </w:p>
        </w:tc>
      </w:tr>
      <w:tr>
        <w:trPr>
          <w:cantSplit/>
        </w:trPr>
        <w:tc>
          <w:tcPr>
            <w:tcW w:type="dxa" w:w="2376"/>
            <w:tcMar>
              <w:top w:w="55" w:type="dxa"/>
              <w:start w:w="65" w:type="dxa"/>
              <w:bottom w:w="55" w:type="dxa"/>
              <w:end w:w="65" w:type="dxa"/>
            </w:tcMar>
            <w:vAlign w:val="top"/>
          </w:tcPr>
          <w:p>
            <w:pPr>
              <w:spacing w:after="0"/>
            </w:pPr>
            <w:r>
              <w:rPr>
                <w:rFonts w:ascii="Arial" w:hAnsi="Arial"/>
                <w:sz w:val="17"/>
              </w:rPr>
              <w:t>Functional owners: CCV, DOT, DOW, DOS, DOX, MX/support</w:t>
            </w:r>
          </w:p>
        </w:tc>
        <w:tc>
          <w:tcPr>
            <w:tcW w:type="dxa" w:w="8280"/>
            <w:tcMar>
              <w:top w:w="55" w:type="dxa"/>
              <w:start w:w="65" w:type="dxa"/>
              <w:bottom w:w="55" w:type="dxa"/>
              <w:end w:w="65" w:type="dxa"/>
            </w:tcMar>
            <w:vAlign w:val="top"/>
          </w:tcPr>
          <w:p>
            <w:pPr>
              <w:spacing w:after="0"/>
            </w:pPr>
            <w:r>
              <w:rPr>
                <w:rFonts w:ascii="Arial" w:hAnsi="Arial"/>
                <w:sz w:val="17"/>
              </w:rPr>
              <w:t>Provide current products by Monday COB, verify their information is represented during Wednesday integration, and resolve assigned issues by the required time.</w:t>
            </w:r>
          </w:p>
        </w:tc>
      </w:tr>
      <w:tr>
        <w:trPr>
          <w:cantSplit/>
        </w:trPr>
        <w:tc>
          <w:tcPr>
            <w:tcW w:type="dxa" w:w="2376"/>
            <w:tcMar>
              <w:top w:w="55" w:type="dxa"/>
              <w:start w:w="65" w:type="dxa"/>
              <w:bottom w:w="55" w:type="dxa"/>
              <w:end w:w="65" w:type="dxa"/>
            </w:tcMar>
            <w:vAlign w:val="top"/>
          </w:tcPr>
          <w:p>
            <w:pPr>
              <w:spacing w:after="0"/>
            </w:pPr>
            <w:r>
              <w:rPr>
                <w:rFonts w:ascii="Arial" w:hAnsi="Arial"/>
                <w:sz w:val="17"/>
              </w:rPr>
              <w:t>AI assistant</w:t>
            </w:r>
          </w:p>
        </w:tc>
        <w:tc>
          <w:tcPr>
            <w:tcW w:type="dxa" w:w="8280"/>
            <w:tcMar>
              <w:top w:w="55" w:type="dxa"/>
              <w:start w:w="65" w:type="dxa"/>
              <w:bottom w:w="55" w:type="dxa"/>
              <w:end w:w="65" w:type="dxa"/>
            </w:tcMar>
            <w:vAlign w:val="top"/>
          </w:tcPr>
          <w:p>
            <w:pPr>
              <w:spacing w:after="0"/>
            </w:pPr>
            <w:r>
              <w:rPr>
                <w:rFonts w:ascii="Arial" w:hAnsi="Arial"/>
                <w:sz w:val="17"/>
              </w:rPr>
              <w:t>Infer run state, reconcile sources, answer bounded planning questions, perform schedule QC, maintain advisory ledgers and decision records, and identify second-/third-order effects. It does not create authority.</w:t>
            </w:r>
          </w:p>
        </w:tc>
      </w:tr>
    </w:tbl>
    <w:p>
      <w:pPr>
        <w:spacing w:after="0"/>
      </w:pPr>
    </w:p>
    <w:p>
      <w:pPr>
        <w:pStyle w:val="Heading1"/>
      </w:pPr>
      <w:r>
        <w:t>3. SOURCE, EVIDENCE, AND AI INTEGRITY RULES</w:t>
      </w:r>
    </w:p>
    <w:p>
      <w:r>
        <w:t>The assistant must distinguish source facts, human direction, assumptions, recommendations, and publication-derived requirements. A plausible value is not sufficient evidence when the underlying source cannot be trusted.</w:t>
      </w:r>
    </w:p>
    <w:p>
      <w:pPr>
        <w:pStyle w:val="Heading2"/>
      </w:pPr>
      <w:r>
        <w:t>3.1 Operational product quality</w:t>
      </w:r>
    </w:p>
    <w:p>
      <w:pPr>
        <w:pStyle w:val="CompactBullet"/>
      </w:pPr>
      <w:r>
        <w:t xml:space="preserve">• </w:t>
      </w:r>
      <w:r>
        <w:t>Classify supplied products as CURRENT, STALE, PARTIAL, CONFLICTED, INTEGRITY FAILED, UNREADABLE, or SUPERSEDED.</w:t>
      </w:r>
    </w:p>
    <w:p>
      <w:pPr>
        <w:pStyle w:val="CompactBullet"/>
      </w:pPr>
      <w:r>
        <w:t xml:space="preserve">• </w:t>
      </w:r>
      <w:r>
        <w:t>Before using a calculated workbook for a person-specific conclusion, verify reliable identity linkage, preferably a stable identifier when available, source date, formulas/lookup behavior, duplicate-name handling, and missing/error states.</w:t>
      </w:r>
    </w:p>
    <w:p>
      <w:pPr>
        <w:pStyle w:val="CompactBullet"/>
      </w:pPr>
      <w:r>
        <w:t xml:space="preserve">• </w:t>
      </w:r>
      <w:r>
        <w:t>A material identity, formula, lookup, or stale-hidden-data defect is INTEGRITY FAILED. Do not use affected cached/displayed values merely because they look plausible. Continue unrelated analysis that does not depend on the failed source.</w:t>
      </w:r>
    </w:p>
    <w:p>
      <w:pPr>
        <w:pStyle w:val="CompactBullet"/>
      </w:pPr>
      <w:r>
        <w:t xml:space="preserve">• </w:t>
      </w:r>
      <w:r>
        <w:t>If two source products disagree, treat the affected conclusion as conflicted until the correct source is resolved or a human authority selects the controlling value.</w:t>
      </w:r>
    </w:p>
    <w:p>
      <w:pPr>
        <w:pStyle w:val="Heading2"/>
      </w:pPr>
      <w:r>
        <w:t>3.2 Publication-derived regulatory determinations</w:t>
      </w:r>
    </w:p>
    <w:p>
      <w:r>
        <w:t>DoW Policies Beta (GAMECHANGER) is the exclusive AI-side publication source for publication-derived currency, qualification, crew-rest/duty, evaluation, syllabus/prerequisite, event-credit, recurring-training, and similar regulatory determinations. Model memory, ordinary web search, or generic military knowledge will not be substituted as regulatory evidence.</w:t>
      </w:r>
    </w:p>
    <w:p>
      <w:pPr>
        <w:pStyle w:val="CompactBullet"/>
      </w:pPr>
      <w:r>
        <w:t xml:space="preserve">• </w:t>
      </w:r>
      <w:r>
        <w:t>For each applicable publication-derived rule, retain a traceable publication number/title plus paragraph, page, or other usable locator; record version/effective/current status when available.</w:t>
      </w:r>
    </w:p>
    <w:p>
      <w:pPr>
        <w:pStyle w:val="CompactBullet"/>
      </w:pPr>
      <w:r>
        <w:t xml:space="preserve">• </w:t>
      </w:r>
      <w:r>
        <w:t>Use only SOURCE-BACKED OK, SOURCE-BACKED ISSUE, CANNOT VERIFY, or SOURCE CONFLICT for publication-rule status.</w:t>
      </w:r>
    </w:p>
    <w:p>
      <w:pPr>
        <w:pStyle w:val="CompactBullet"/>
      </w:pPr>
      <w:r>
        <w:t xml:space="preserve">• </w:t>
      </w:r>
      <w:r>
        <w:t>If no sufficiently traceable applicable publication is retrieved, record CANNOT VERIFY and make no regulatory determination. The schedule may continue through unaffected planning, but the unverified check remains visible to the human decision-maker.</w:t>
      </w:r>
    </w:p>
    <w:p>
      <w:pPr>
        <w:pStyle w:val="CompactBullet"/>
      </w:pPr>
      <w:r>
        <w:t xml:space="preserve">• </w:t>
      </w:r>
      <w:r>
        <w:t>Source-backed AI findings are evidence, not approval, waiver authority, publication authority, or a substitute for human coordination.</w:t>
      </w:r>
    </w:p>
    <w:p>
      <w:pPr>
        <w:pStyle w:val="Heading1"/>
      </w:pPr>
      <w:r>
        <w:t>4. WEEKLY BATTLE RHYTHM</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2232"/>
            <w:shd w:fill="5B9BD5"/>
            <w:tcMar>
              <w:top w:w="55" w:type="dxa"/>
              <w:start w:w="65" w:type="dxa"/>
              <w:bottom w:w="55" w:type="dxa"/>
              <w:end w:w="65" w:type="dxa"/>
            </w:tcMar>
            <w:vAlign w:val="center"/>
          </w:tcPr>
          <w:p>
            <w:pPr>
              <w:spacing w:after="0"/>
              <w:jc w:val="center"/>
            </w:pPr>
            <w:r>
              <w:rPr>
                <w:rFonts w:ascii="Arial" w:hAnsi="Arial"/>
                <w:b/>
                <w:color w:val="FFFFFF"/>
                <w:sz w:val="15"/>
              </w:rPr>
              <w:t>Step</w:t>
            </w:r>
          </w:p>
        </w:tc>
        <w:tc>
          <w:tcPr>
            <w:tcW w:type="dxa" w:w="5616"/>
            <w:shd w:fill="5B9BD5"/>
            <w:tcMar>
              <w:top w:w="55" w:type="dxa"/>
              <w:start w:w="65" w:type="dxa"/>
              <w:bottom w:w="55" w:type="dxa"/>
              <w:end w:w="65" w:type="dxa"/>
            </w:tcMar>
            <w:vAlign w:val="center"/>
          </w:tcPr>
          <w:p>
            <w:pPr>
              <w:spacing w:after="0"/>
              <w:jc w:val="center"/>
            </w:pPr>
            <w:r>
              <w:rPr>
                <w:rFonts w:ascii="Arial" w:hAnsi="Arial"/>
                <w:b/>
                <w:color w:val="FFFFFF"/>
                <w:sz w:val="15"/>
              </w:rPr>
              <w:t>What happens</w:t>
            </w:r>
          </w:p>
        </w:tc>
        <w:tc>
          <w:tcPr>
            <w:tcW w:type="dxa" w:w="3096"/>
            <w:shd w:fill="5B9BD5"/>
            <w:tcMar>
              <w:top w:w="55" w:type="dxa"/>
              <w:start w:w="65" w:type="dxa"/>
              <w:bottom w:w="55" w:type="dxa"/>
              <w:end w:w="65" w:type="dxa"/>
            </w:tcMar>
            <w:vAlign w:val="center"/>
          </w:tcPr>
          <w:p>
            <w:pPr>
              <w:spacing w:after="0"/>
              <w:jc w:val="center"/>
            </w:pPr>
            <w:r>
              <w:rPr>
                <w:rFonts w:ascii="Arial" w:hAnsi="Arial"/>
                <w:b/>
                <w:color w:val="FFFFFF"/>
                <w:sz w:val="15"/>
              </w:rPr>
              <w:t>Exit / product</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Monday - Inputs due</w:t>
            </w:r>
          </w:p>
        </w:tc>
        <w:tc>
          <w:tcPr>
            <w:tcW w:type="dxa" w:w="5616"/>
            <w:tcMar>
              <w:top w:w="55" w:type="dxa"/>
              <w:start w:w="65" w:type="dxa"/>
              <w:bottom w:w="55" w:type="dxa"/>
              <w:end w:w="65" w:type="dxa"/>
            </w:tcMar>
            <w:vAlign w:val="top"/>
          </w:tcPr>
          <w:p>
            <w:pPr>
              <w:spacing w:after="0"/>
            </w:pPr>
            <w:r>
              <w:rPr>
                <w:rFonts w:ascii="Arial" w:hAnsi="Arial"/>
                <w:sz w:val="15"/>
              </w:rPr>
              <w:t>Functional owners deliver scheduling inputs NLT COB. The scheduler confirms expected products were requested/received; no startup questionnaire is required.</w:t>
            </w:r>
          </w:p>
        </w:tc>
        <w:tc>
          <w:tcPr>
            <w:tcW w:type="dxa" w:w="3096"/>
            <w:tcMar>
              <w:top w:w="55" w:type="dxa"/>
              <w:start w:w="65" w:type="dxa"/>
              <w:bottom w:w="55" w:type="dxa"/>
              <w:end w:w="65" w:type="dxa"/>
            </w:tcMar>
            <w:vAlign w:val="top"/>
          </w:tcPr>
          <w:p>
            <w:pPr>
              <w:spacing w:after="0"/>
            </w:pPr>
            <w:r>
              <w:rPr>
                <w:rFonts w:ascii="Arial" w:hAnsi="Arial"/>
                <w:sz w:val="15"/>
              </w:rPr>
              <w:t>Complete enough packet to begin Tuesday planning; gaps identified by owner.</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Tuesday - Intake and planning</w:t>
            </w:r>
          </w:p>
        </w:tc>
        <w:tc>
          <w:tcPr>
            <w:tcW w:type="dxa" w:w="5616"/>
            <w:tcMar>
              <w:top w:w="55" w:type="dxa"/>
              <w:start w:w="65" w:type="dxa"/>
              <w:bottom w:w="55" w:type="dxa"/>
              <w:end w:w="65" w:type="dxa"/>
            </w:tcMar>
            <w:vAlign w:val="top"/>
          </w:tcPr>
          <w:p>
            <w:pPr>
              <w:spacing w:after="0"/>
            </w:pPr>
            <w:r>
              <w:rPr>
                <w:rFonts w:ascii="Arial" w:hAnsi="Arial"/>
                <w:sz w:val="15"/>
              </w:rPr>
              <w:t>Start the weekly AI workspace, reconcile the product manifest, identify checkrides/evaluations, directed DVs, upgrades, major constraints, and initial publication-rule ledger.</w:t>
            </w:r>
          </w:p>
        </w:tc>
        <w:tc>
          <w:tcPr>
            <w:tcW w:type="dxa" w:w="3096"/>
            <w:tcMar>
              <w:top w:w="55" w:type="dxa"/>
              <w:start w:w="65" w:type="dxa"/>
              <w:bottom w:w="55" w:type="dxa"/>
              <w:end w:w="65" w:type="dxa"/>
            </w:tcMar>
            <w:vAlign w:val="top"/>
          </w:tcPr>
          <w:p>
            <w:pPr>
              <w:spacing w:after="0"/>
            </w:pPr>
            <w:r>
              <w:rPr>
                <w:rFonts w:ascii="Arial" w:hAnsi="Arial"/>
                <w:sz w:val="15"/>
              </w:rPr>
              <w:t>Planning picture, targeted questions, upgrade/checkride priorities, resource constraints, initial P-ledger.</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Wednesday - Human build</w:t>
            </w:r>
          </w:p>
        </w:tc>
        <w:tc>
          <w:tcPr>
            <w:tcW w:type="dxa" w:w="5616"/>
            <w:tcMar>
              <w:top w:w="55" w:type="dxa"/>
              <w:start w:w="65" w:type="dxa"/>
              <w:bottom w:w="55" w:type="dxa"/>
              <w:end w:w="65" w:type="dxa"/>
            </w:tcMar>
            <w:vAlign w:val="top"/>
          </w:tcPr>
          <w:p>
            <w:pPr>
              <w:spacing w:after="0"/>
            </w:pPr>
            <w:r>
              <w:rPr>
                <w:rFonts w:ascii="Arial" w:hAnsi="Arial"/>
                <w:sz w:val="15"/>
              </w:rPr>
              <w:t>Schedulers build the bulk of the Week + 1 lineup. AI provides bounded conflict/cascade support without replacing the human build.</w:t>
            </w:r>
          </w:p>
        </w:tc>
        <w:tc>
          <w:tcPr>
            <w:tcW w:type="dxa" w:w="3096"/>
            <w:tcMar>
              <w:top w:w="55" w:type="dxa"/>
              <w:start w:w="65" w:type="dxa"/>
              <w:bottom w:w="55" w:type="dxa"/>
              <w:end w:w="65" w:type="dxa"/>
            </w:tcMar>
            <w:vAlign w:val="top"/>
          </w:tcPr>
          <w:p>
            <w:pPr>
              <w:spacing w:after="0"/>
            </w:pPr>
            <w:r>
              <w:rPr>
                <w:rFonts w:ascii="Arial" w:hAnsi="Arial"/>
                <w:sz w:val="15"/>
              </w:rPr>
              <w:t>Working draft suitable for cross-functional integration.</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Wednesday - Cross-Functional Schedule Integration Review</w:t>
            </w:r>
          </w:p>
        </w:tc>
        <w:tc>
          <w:tcPr>
            <w:tcW w:type="dxa" w:w="5616"/>
            <w:tcMar>
              <w:top w:w="55" w:type="dxa"/>
              <w:start w:w="65" w:type="dxa"/>
              <w:bottom w:w="55" w:type="dxa"/>
              <w:end w:w="65" w:type="dxa"/>
            </w:tcMar>
            <w:vAlign w:val="top"/>
          </w:tcPr>
          <w:p>
            <w:pPr>
              <w:spacing w:after="0"/>
            </w:pPr>
            <w:r>
              <w:rPr>
                <w:rFonts w:ascii="Arial" w:hAnsi="Arial"/>
                <w:sz w:val="15"/>
              </w:rPr>
              <w:t>Flight Commanders and material functional owners verify inputs are represented, assign unresolved issues, and identify DO decisions needed Thursday. This is NOT a Buy, Buy/Sell, or approval event.</w:t>
            </w:r>
          </w:p>
        </w:tc>
        <w:tc>
          <w:tcPr>
            <w:tcW w:type="dxa" w:w="3096"/>
            <w:tcMar>
              <w:top w:w="55" w:type="dxa"/>
              <w:start w:w="65" w:type="dxa"/>
              <w:bottom w:w="55" w:type="dxa"/>
              <w:end w:w="65" w:type="dxa"/>
            </w:tcMar>
            <w:vAlign w:val="top"/>
          </w:tcPr>
          <w:p>
            <w:pPr>
              <w:spacing w:after="0"/>
            </w:pPr>
            <w:r>
              <w:rPr>
                <w:rFonts w:ascii="Arial" w:hAnsi="Arial"/>
                <w:sz w:val="15"/>
              </w:rPr>
              <w:t>Exact integrated draft selected for Thursday QC; unresolved issues have owners or are framed as DO decisions.</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Thursday - Full QC</w:t>
            </w:r>
          </w:p>
        </w:tc>
        <w:tc>
          <w:tcPr>
            <w:tcW w:type="dxa" w:w="5616"/>
            <w:tcMar>
              <w:top w:w="55" w:type="dxa"/>
              <w:start w:w="65" w:type="dxa"/>
              <w:bottom w:w="55" w:type="dxa"/>
              <w:end w:w="65" w:type="dxa"/>
            </w:tcMar>
            <w:vAlign w:val="top"/>
          </w:tcPr>
          <w:p>
            <w:pPr>
              <w:spacing w:after="0"/>
            </w:pPr>
            <w:r>
              <w:rPr>
                <w:rFonts w:ascii="Arial" w:hAnsi="Arial"/>
                <w:sz w:val="15"/>
              </w:rPr>
              <w:t>Scheduler completes normal checklist, then AI performs a fresh whole-schedule review of the exact near-final version.</w:t>
            </w:r>
          </w:p>
        </w:tc>
        <w:tc>
          <w:tcPr>
            <w:tcW w:type="dxa" w:w="3096"/>
            <w:tcMar>
              <w:top w:w="55" w:type="dxa"/>
              <w:start w:w="65" w:type="dxa"/>
              <w:bottom w:w="55" w:type="dxa"/>
              <w:end w:w="65" w:type="dxa"/>
            </w:tcMar>
            <w:vAlign w:val="top"/>
          </w:tcPr>
          <w:p>
            <w:pPr>
              <w:spacing w:after="0"/>
            </w:pPr>
            <w:r>
              <w:rPr>
                <w:rFonts w:ascii="Arial" w:hAnsi="Arial"/>
                <w:sz w:val="15"/>
              </w:rPr>
              <w:t>Advisory readiness, exact corrections, source limitations, P-ledger updates, DO decisions required.</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Thursday - Optional DO adversarial review</w:t>
            </w:r>
          </w:p>
        </w:tc>
        <w:tc>
          <w:tcPr>
            <w:tcW w:type="dxa" w:w="5616"/>
            <w:tcMar>
              <w:top w:w="55" w:type="dxa"/>
              <w:start w:w="65" w:type="dxa"/>
              <w:bottom w:w="55" w:type="dxa"/>
              <w:end w:w="65" w:type="dxa"/>
            </w:tcMar>
            <w:vAlign w:val="top"/>
          </w:tcPr>
          <w:p>
            <w:pPr>
              <w:spacing w:after="0"/>
            </w:pPr>
            <w:r>
              <w:rPr>
                <w:rFonts w:ascii="Arial" w:hAnsi="Arial"/>
                <w:sz w:val="15"/>
              </w:rPr>
              <w:t>At DO discretion, use an independent model/reviewer to challenge assumptions, missed conflicts, fragile cascades, and tradeoffs.</w:t>
            </w:r>
          </w:p>
        </w:tc>
        <w:tc>
          <w:tcPr>
            <w:tcW w:type="dxa" w:w="3096"/>
            <w:tcMar>
              <w:top w:w="55" w:type="dxa"/>
              <w:start w:w="65" w:type="dxa"/>
              <w:bottom w:w="55" w:type="dxa"/>
              <w:end w:w="65" w:type="dxa"/>
            </w:tcMar>
            <w:vAlign w:val="top"/>
          </w:tcPr>
          <w:p>
            <w:pPr>
              <w:spacing w:after="0"/>
            </w:pPr>
            <w:r>
              <w:rPr>
                <w:rFonts w:ascii="Arial" w:hAnsi="Arial"/>
                <w:sz w:val="15"/>
              </w:rPr>
              <w:t>Independent dissent/exception list, if requested; no approval is implied.</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Thursday - Schedule Buy/Sell</w:t>
            </w:r>
          </w:p>
        </w:tc>
        <w:tc>
          <w:tcPr>
            <w:tcW w:type="dxa" w:w="5616"/>
            <w:tcMar>
              <w:top w:w="55" w:type="dxa"/>
              <w:start w:w="65" w:type="dxa"/>
              <w:bottom w:w="55" w:type="dxa"/>
              <w:end w:w="65" w:type="dxa"/>
            </w:tcMar>
            <w:vAlign w:val="top"/>
          </w:tcPr>
          <w:p>
            <w:pPr>
              <w:spacing w:after="0"/>
            </w:pPr>
            <w:r>
              <w:rPr>
                <w:rFonts w:ascii="Arial" w:hAnsi="Arial"/>
                <w:sz w:val="15"/>
              </w:rPr>
              <w:t>Scheduler presents the selected version. DO decides and explicitly buys or returns it.</w:t>
            </w:r>
          </w:p>
        </w:tc>
        <w:tc>
          <w:tcPr>
            <w:tcW w:type="dxa" w:w="3096"/>
            <w:tcMar>
              <w:top w:w="55" w:type="dxa"/>
              <w:start w:w="65" w:type="dxa"/>
              <w:bottom w:w="55" w:type="dxa"/>
              <w:end w:w="65" w:type="dxa"/>
            </w:tcMar>
            <w:vAlign w:val="top"/>
          </w:tcPr>
          <w:p>
            <w:pPr>
              <w:spacing w:after="0"/>
            </w:pPr>
            <w:r>
              <w:rPr>
                <w:rFonts w:ascii="Arial" w:hAnsi="Arial"/>
                <w:sz w:val="15"/>
              </w:rPr>
              <w:t>Presented version plus exact DO direction becomes the Buy/Sell baseline only when explicitly bought.</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Thursday-Friday - Implement direction and QC</w:t>
            </w:r>
          </w:p>
        </w:tc>
        <w:tc>
          <w:tcPr>
            <w:tcW w:type="dxa" w:w="5616"/>
            <w:tcMar>
              <w:top w:w="55" w:type="dxa"/>
              <w:start w:w="65" w:type="dxa"/>
              <w:bottom w:w="55" w:type="dxa"/>
              <w:end w:w="65" w:type="dxa"/>
            </w:tcMar>
            <w:vAlign w:val="top"/>
          </w:tcPr>
          <w:p>
            <w:pPr>
              <w:spacing w:after="0"/>
            </w:pPr>
            <w:r>
              <w:rPr>
                <w:rFonts w:ascii="Arial" w:hAnsi="Arial"/>
                <w:sz w:val="15"/>
              </w:rPr>
              <w:t>Schedulers apply recorded DO direction; AI verifies each disposition, downstream cascades, and affected publication-rule deltas.</w:t>
            </w:r>
          </w:p>
        </w:tc>
        <w:tc>
          <w:tcPr>
            <w:tcW w:type="dxa" w:w="3096"/>
            <w:tcMar>
              <w:top w:w="55" w:type="dxa"/>
              <w:start w:w="65" w:type="dxa"/>
              <w:bottom w:w="55" w:type="dxa"/>
              <w:end w:w="65" w:type="dxa"/>
            </w:tcMar>
            <w:vAlign w:val="top"/>
          </w:tcPr>
          <w:p>
            <w:pPr>
              <w:spacing w:after="0"/>
            </w:pPr>
            <w:r>
              <w:rPr>
                <w:rFonts w:ascii="Arial" w:hAnsi="Arial"/>
                <w:sz w:val="15"/>
              </w:rPr>
              <w:t>Corrected publication candidate or scoped supplemental DO decision. No routine second buy.</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Friday - Publication</w:t>
            </w:r>
          </w:p>
        </w:tc>
        <w:tc>
          <w:tcPr>
            <w:tcW w:type="dxa" w:w="5616"/>
            <w:tcMar>
              <w:top w:w="55" w:type="dxa"/>
              <w:start w:w="65" w:type="dxa"/>
              <w:bottom w:w="55" w:type="dxa"/>
              <w:end w:w="65" w:type="dxa"/>
            </w:tcMar>
            <w:vAlign w:val="top"/>
          </w:tcPr>
          <w:p>
            <w:pPr>
              <w:spacing w:after="0"/>
            </w:pPr>
            <w:r>
              <w:rPr>
                <w:rFonts w:ascii="Arial" w:hAnsi="Arial"/>
                <w:sz w:val="15"/>
              </w:rPr>
              <w:t>Human verifies final candidate against the Buy/Sell baseline and distributes the authoritative weekly schedule. Publication is a separate human action.</w:t>
            </w:r>
          </w:p>
        </w:tc>
        <w:tc>
          <w:tcPr>
            <w:tcW w:type="dxa" w:w="3096"/>
            <w:tcMar>
              <w:top w:w="55" w:type="dxa"/>
              <w:start w:w="65" w:type="dxa"/>
              <w:bottom w:w="55" w:type="dxa"/>
              <w:end w:w="65" w:type="dxa"/>
            </w:tcMar>
            <w:vAlign w:val="top"/>
          </w:tcPr>
          <w:p>
            <w:pPr>
              <w:spacing w:after="0"/>
            </w:pPr>
            <w:r>
              <w:rPr>
                <w:rFonts w:ascii="Arial" w:hAnsi="Arial"/>
                <w:sz w:val="15"/>
              </w:rPr>
              <w:t>Published weekly schedule and release record.</w:t>
            </w:r>
          </w:p>
        </w:tc>
      </w:tr>
      <w:tr>
        <w:trPr>
          <w:cantSplit/>
        </w:trPr>
        <w:tc>
          <w:tcPr>
            <w:tcW w:type="dxa" w:w="2232"/>
            <w:tcMar>
              <w:top w:w="55" w:type="dxa"/>
              <w:start w:w="65" w:type="dxa"/>
              <w:bottom w:w="55" w:type="dxa"/>
              <w:end w:w="65" w:type="dxa"/>
            </w:tcMar>
            <w:vAlign w:val="top"/>
          </w:tcPr>
          <w:p>
            <w:pPr>
              <w:spacing w:after="0"/>
            </w:pPr>
            <w:r>
              <w:rPr>
                <w:rFonts w:ascii="Arial" w:hAnsi="Arial"/>
                <w:sz w:val="15"/>
              </w:rPr>
              <w:t>Execution week - Reflows</w:t>
            </w:r>
          </w:p>
        </w:tc>
        <w:tc>
          <w:tcPr>
            <w:tcW w:type="dxa" w:w="5616"/>
            <w:tcMar>
              <w:top w:w="55" w:type="dxa"/>
              <w:start w:w="65" w:type="dxa"/>
              <w:bottom w:w="55" w:type="dxa"/>
              <w:end w:w="65" w:type="dxa"/>
            </w:tcMar>
            <w:vAlign w:val="top"/>
          </w:tcPr>
          <w:p>
            <w:pPr>
              <w:spacing w:after="0"/>
            </w:pPr>
            <w:r>
              <w:rPr>
                <w:rFonts w:ascii="Arial" w:hAnsi="Arial"/>
                <w:sz w:val="15"/>
              </w:rPr>
              <w:t>Daily Scheduler/Top 3 manage delegated changes to the current published execution week; DO handles changes outside delegation.</w:t>
            </w:r>
          </w:p>
        </w:tc>
        <w:tc>
          <w:tcPr>
            <w:tcW w:type="dxa" w:w="3096"/>
            <w:tcMar>
              <w:top w:w="55" w:type="dxa"/>
              <w:start w:w="65" w:type="dxa"/>
              <w:bottom w:w="55" w:type="dxa"/>
              <w:end w:w="65" w:type="dxa"/>
            </w:tcMar>
            <w:vAlign w:val="top"/>
          </w:tcPr>
          <w:p>
            <w:pPr>
              <w:spacing w:after="0"/>
            </w:pPr>
            <w:r>
              <w:rPr>
                <w:rFonts w:ascii="Arial" w:hAnsi="Arial"/>
                <w:sz w:val="15"/>
              </w:rPr>
              <w:t>Signed/recorded daily changes and cumulative weekly delta.</w:t>
            </w:r>
          </w:p>
        </w:tc>
      </w:tr>
    </w:tbl>
    <w:p>
      <w:pPr>
        <w:spacing w:after="0"/>
      </w:pPr>
    </w:p>
    <w:p>
      <w:pPr>
        <w:pStyle w:val="Heading1"/>
      </w:pPr>
      <w:r>
        <w:t>5. WEEKLY PROCESS DETAILS</w:t>
      </w:r>
    </w:p>
    <w:p>
      <w:pPr>
        <w:pStyle w:val="Heading2"/>
      </w:pPr>
      <w:r>
        <w:t>5.1 Monday inputs</w:t>
      </w:r>
    </w:p>
    <w:p>
      <w:r>
        <w:t>All scheduling inputs are due NLT COB Monday of the prior week. Monday is the human input deadline. It does not automatically prove the packet is complete or advance the workflow.</w:t>
      </w:r>
    </w:p>
    <w:p>
      <w:pPr>
        <w:pStyle w:val="CheckItem"/>
      </w:pPr>
      <w:r>
        <w:t xml:space="preserve">☐ </w:t>
      </w:r>
      <w:r>
        <w:t>Upgrade/MQT tracker and recent results; checkride, currency, qualification and evaluation inputs.</w:t>
      </w:r>
    </w:p>
    <w:p>
      <w:pPr>
        <w:pStyle w:val="CheckItem"/>
      </w:pPr>
      <w:r>
        <w:t xml:space="preserve">☐ </w:t>
      </w:r>
      <w:r>
        <w:t>Leave, commitments, known TDYs, current dated Letter of Xs, callsign/name roster and other availability products.</w:t>
      </w:r>
    </w:p>
    <w:p>
      <w:pPr>
        <w:pStyle w:val="CheckItem"/>
      </w:pPr>
      <w:r>
        <w:t xml:space="preserve">☐ </w:t>
      </w:r>
      <w:r>
        <w:t>Maintenance turn pattern, aircraft configuration, primary/spare plan, simulator schedule, range/airspace/tanker/support allocations, and known weather/support constraints.</w:t>
      </w:r>
    </w:p>
    <w:p>
      <w:pPr>
        <w:pStyle w:val="CheckItem"/>
      </w:pPr>
      <w:r>
        <w:t xml:space="preserve">☐ </w:t>
      </w:r>
      <w:r>
        <w:t>Training phase/configuration plan, DO weekly guidance, Flight Commander inputs, and relevant stable references.</w:t>
      </w:r>
    </w:p>
    <w:p>
      <w:pPr>
        <w:pStyle w:val="CheckItem"/>
      </w:pPr>
      <w:r>
        <w:t xml:space="preserve">☐ </w:t>
      </w:r>
      <w:r>
        <w:t>Prior-week schedule or actual duty times when needed for cross-boundary crew-rest/duty checks.</w:t>
      </w:r>
    </w:p>
    <w:p>
      <w:r>
        <w:t>Use existing squadron products. Do not recreate trackers solely for the assistant. A missing nonblocking product does not stop all Tuesday work; the assistant identifies which checks are limited.</w:t>
      </w:r>
    </w:p>
    <w:p>
      <w:pPr>
        <w:pStyle w:val="Heading2"/>
      </w:pPr>
      <w:r>
        <w:t>5.2 Tuesday AI startup and planning</w:t>
      </w:r>
    </w:p>
    <w:p>
      <w:r>
        <w:t>The AI will not ask the scheduler to fill out a run-control list. It infers execution week, current task, as-of time, active schedule, comparison baseline, product status, and connector availability from the current date, file/folder names, schedule headers, uploaded products, and conversation. It states only consequential assumptions and asks only when ambiguity would materially change the work.</w:t>
      </w:r>
    </w:p>
    <w:p>
      <w:pPr>
        <w:spacing w:after="20"/>
        <w:ind w:left="317" w:hanging="317"/>
      </w:pPr>
      <w:r>
        <w:rPr>
          <w:b/>
        </w:rPr>
        <w:t xml:space="preserve">1. </w:t>
      </w:r>
      <w:r>
        <w:rPr>
          <w:b w:val="0"/>
        </w:rPr>
        <w:t>Reconcile products and apply the source-integrity gate; identify only material missing, stale, partial, conflicted, unreadable, superseded, or integrity-failed information.</w:t>
      </w:r>
    </w:p>
    <w:p>
      <w:pPr>
        <w:spacing w:after="20"/>
        <w:ind w:left="317" w:hanging="317"/>
      </w:pPr>
      <w:r>
        <w:rPr>
          <w:b/>
        </w:rPr>
        <w:t xml:space="preserve">2. </w:t>
      </w:r>
      <w:r>
        <w:rPr>
          <w:b w:val="0"/>
        </w:rPr>
        <w:t>Identify checkrides/evaluations and evidence for their timing windows; distinguish required due dates from recommended earlier placement.</w:t>
      </w:r>
    </w:p>
    <w:p>
      <w:pPr>
        <w:spacing w:after="20"/>
        <w:ind w:left="317" w:hanging="317"/>
      </w:pPr>
      <w:r>
        <w:rPr>
          <w:b/>
        </w:rPr>
        <w:t xml:space="preserve">3. </w:t>
      </w:r>
      <w:r>
        <w:rPr>
          <w:b w:val="0"/>
        </w:rPr>
        <w:t>Identify only explicitly directed DV or senior-leader flyers and their constraints; do not infer a requirement from rank or title.</w:t>
      </w:r>
    </w:p>
    <w:p>
      <w:pPr>
        <w:spacing w:after="20"/>
        <w:ind w:left="317" w:hanging="317"/>
      </w:pPr>
      <w:r>
        <w:rPr>
          <w:b/>
        </w:rPr>
        <w:t xml:space="preserve">4. </w:t>
      </w:r>
      <w:r>
        <w:rPr>
          <w:b w:val="0"/>
        </w:rPr>
        <w:t>Plan each upgradee’s next legal events, prerequisites, desired weekly pace, instructor/resource demand, candidate windows, backup opportunities, and completion risk without building the entire lineup.</w:t>
      </w:r>
    </w:p>
    <w:p>
      <w:pPr>
        <w:spacing w:after="20"/>
        <w:ind w:left="317" w:hanging="317"/>
      </w:pPr>
      <w:r>
        <w:rPr>
          <w:b/>
        </w:rPr>
        <w:t xml:space="preserve">5. </w:t>
      </w:r>
      <w:r>
        <w:rPr>
          <w:b w:val="0"/>
        </w:rPr>
        <w:t>Use GAMECHANGER to establish relevant publication-derived rules and create/update the Weekly Publication Rule Ledger with stable P-### identifiers.</w:t>
      </w:r>
    </w:p>
    <w:p>
      <w:pPr>
        <w:pStyle w:val="Heading2"/>
      </w:pPr>
      <w:r>
        <w:t>5.3 Wednesday human build and Cross-Functional Schedule Integration Review</w:t>
      </w:r>
    </w:p>
    <w:p>
      <w:r>
        <w:t>Wednesday is the human build day. Schedulers construct the bulk of the lineup. The assistant supports bounded placement, conflict, and cascade questions and should recommend the smallest fully feasible change first.</w:t>
      </w:r>
    </w:p>
    <w:p>
      <w:r>
        <w:t>The Wednesday Cross-Functional Schedule Integration Review replaces the former use of “Buy” for the cross-functional meeting. It is an integration and issue-disposition meeting, not a schedule approval.</w:t>
      </w:r>
    </w:p>
    <w:p>
      <w:pPr>
        <w:pStyle w:val="CheckItem"/>
      </w:pPr>
      <w:r>
        <w:t xml:space="preserve">☐ </w:t>
      </w:r>
      <w:r>
        <w:t>Identify the exact integrated draft proceeding to Thursday QC.</w:t>
      </w:r>
    </w:p>
    <w:p>
      <w:pPr>
        <w:pStyle w:val="CheckItem"/>
      </w:pPr>
      <w:r>
        <w:t xml:space="preserve">☐ </w:t>
      </w:r>
      <w:r>
        <w:t>Confirm Flight Commander and material CCV, DOT, DOW, DOS, DOX, maintenance and support inputs are represented.</w:t>
      </w:r>
    </w:p>
    <w:p>
      <w:pPr>
        <w:pStyle w:val="CheckItem"/>
      </w:pPr>
      <w:r>
        <w:t xml:space="preserve">☐ </w:t>
      </w:r>
      <w:r>
        <w:t>Assign every unresolved source conflict, personnel issue, resource issue or missing decision to an owner and due time.</w:t>
      </w:r>
    </w:p>
    <w:p>
      <w:pPr>
        <w:pStyle w:val="CheckItem"/>
      </w:pPr>
      <w:r>
        <w:t xml:space="preserve">☐ </w:t>
      </w:r>
      <w:r>
        <w:t>Confirm checkrides/evaluations, directed DVs, at-risk upgrades, primary lines, protected spares, configuration and support are represented or have a documented reason.</w:t>
      </w:r>
    </w:p>
    <w:p>
      <w:pPr>
        <w:pStyle w:val="CheckItem"/>
      </w:pPr>
      <w:r>
        <w:t xml:space="preserve">☐ </w:t>
      </w:r>
      <w:r>
        <w:t>Record exact questions requiring a Thursday DO decision.</w:t>
      </w:r>
    </w:p>
    <w:p>
      <w:pPr>
        <w:pStyle w:val="Heading2"/>
      </w:pPr>
      <w:r>
        <w:t>5.4 Thursday full QC and optional adversarial review</w:t>
      </w:r>
    </w:p>
    <w:p>
      <w:r>
        <w:t>Complete the scheduler’s normal checklist first. Then conduct a fresh whole-schedule AI review of the exact near-final version intended for Buy/Sell; this is not a delta-only review.</w:t>
      </w:r>
    </w:p>
    <w:p>
      <w:pPr>
        <w:pStyle w:val="CheckItem"/>
      </w:pPr>
      <w:r>
        <w:t xml:space="preserve">☐ </w:t>
      </w:r>
      <w:r>
        <w:t>Reconcile all sources and fail closed on affected person-specific conclusions from INTEGRITY FAILED products.</w:t>
      </w:r>
    </w:p>
    <w:p>
      <w:pPr>
        <w:pStyle w:val="CheckItem"/>
      </w:pPr>
      <w:r>
        <w:t xml:space="preserve">☐ </w:t>
      </w:r>
      <w:r>
        <w:t>Check availability, exact-time commitments, prior/next duty boundaries, qualifications, prerequisites, instructor/evaluator placement, ratios and formations.</w:t>
      </w:r>
    </w:p>
    <w:p>
      <w:pPr>
        <w:pStyle w:val="CheckItem"/>
      </w:pPr>
      <w:r>
        <w:t xml:space="preserve">☐ </w:t>
      </w:r>
      <w:r>
        <w:t>Check aircraft/configuration, primary lines, protected spares, simulator capacity, range/airspace/tanker/support, backups and weather placement.</w:t>
      </w:r>
    </w:p>
    <w:p>
      <w:pPr>
        <w:pStyle w:val="CheckItem"/>
      </w:pPr>
      <w:r>
        <w:t xml:space="preserve">☐ </w:t>
      </w:r>
      <w:r>
        <w:t>Check checkrides/evaluations, directed DVs, upgrade progression, IP workload, 30-day outlook, unused feasible opportunities and one moderate downside case.</w:t>
      </w:r>
    </w:p>
    <w:p>
      <w:pPr>
        <w:pStyle w:val="CheckItem"/>
      </w:pPr>
      <w:r>
        <w:t xml:space="preserve">☐ </w:t>
      </w:r>
      <w:r>
        <w:t>Validate every proposed cascade completely and refresh the P-ledger against the people, roles, events, timing and prerequisites actually scheduled.</w:t>
      </w:r>
    </w:p>
    <w:p>
      <w:pPr>
        <w:pStyle w:val="CheckItem"/>
      </w:pPr>
      <w:r>
        <w:t xml:space="preserve">☐ </w:t>
      </w:r>
      <w:r>
        <w:t>Prepare advisory readiness as BUY READY, READY WITH DO DECISIONS, or NOT READY. These are advisory statuses, not approval.</w:t>
      </w:r>
    </w:p>
    <w:p>
      <w:r>
        <w:t>The optional DO adversarial review may use an independent approved model to challenge the main review. It is a separate DO tool and is not part of the scheduler’s mandatory flow.</w:t>
      </w:r>
    </w:p>
    <w:p>
      <w:pPr>
        <w:pStyle w:val="Heading2"/>
      </w:pPr>
      <w:r>
        <w:t>5.5 Thursday Schedule Buy/Sell</w:t>
      </w:r>
    </w:p>
    <w:p>
      <w:r>
        <w:t>The Thursday Schedule Buy/Sell is the formal DO buy event. A meeting title, calendar day, or silence does not create approval. Approval exists only when the DO explicitly buys the presented schedule.</w:t>
      </w:r>
    </w:p>
    <w:p>
      <w:pPr>
        <w:pStyle w:val="CompactBullet"/>
      </w:pPr>
      <w:r>
        <w:t xml:space="preserve">• </w:t>
      </w:r>
      <w:r>
        <w:t>The approved baseline is the exact presented schedule plus every explicit DO direction recorded during the meeting.</w:t>
      </w:r>
    </w:p>
    <w:p>
      <w:pPr>
        <w:pStyle w:val="CompactBullet"/>
      </w:pPr>
      <w:r>
        <w:t xml:space="preserve">• </w:t>
      </w:r>
      <w:r>
        <w:t>If the DO does not explicitly buy the schedule, record NOT BOUGHT and return the work to the appropriate earlier step.</w:t>
      </w:r>
    </w:p>
    <w:p>
      <w:pPr>
        <w:pStyle w:val="CompactBullet"/>
      </w:pPr>
      <w:r>
        <w:t xml:space="preserve">• </w:t>
      </w:r>
      <w:r>
        <w:t>Every waiver remains separate and requires both DO routing and the applicable waiver authority.</w:t>
      </w:r>
    </w:p>
    <w:p>
      <w:pPr>
        <w:pStyle w:val="Heading2"/>
      </w:pPr>
      <w:r>
        <w:t>5.6 Buy/Sell direction implementation and Friday publication</w:t>
      </w:r>
    </w:p>
    <w:p>
      <w:r>
        <w:t>Schedulers implement recorded DO direction after Buy/Sell. Faithful implementation does not require a routine second DO buy. If implementation is infeasible or requires a materially different solution outside the recorded direction, return only that issue to the DO for a scoped supplemental decision before publication.</w:t>
      </w:r>
    </w:p>
    <w:p>
      <w:pPr>
        <w:pStyle w:val="CheckItem"/>
      </w:pPr>
      <w:r>
        <w:t xml:space="preserve">☐ </w:t>
      </w:r>
      <w:r>
        <w:t>Every recorded DO direction has a disposition and the corrected schedule faithfully implements it.</w:t>
      </w:r>
    </w:p>
    <w:p>
      <w:pPr>
        <w:pStyle w:val="CheckItem"/>
      </w:pPr>
      <w:r>
        <w:t xml:space="preserve">☐ </w:t>
      </w:r>
      <w:r>
        <w:t>Second-/third-order effects are checked across people, resources, upgrades, support, backups, duty boundaries and later events.</w:t>
      </w:r>
    </w:p>
    <w:p>
      <w:pPr>
        <w:pStyle w:val="CheckItem"/>
      </w:pPr>
      <w:r>
        <w:t xml:space="preserve">☐ </w:t>
      </w:r>
      <w:r>
        <w:t>Affected publication-relevant changes receive GAMECHANGER delta review; unrelated P-ledger entries are not churned unnecessarily.</w:t>
      </w:r>
    </w:p>
    <w:p>
      <w:pPr>
        <w:pStyle w:val="CheckItem"/>
      </w:pPr>
      <w:r>
        <w:t xml:space="preserve">☐ </w:t>
      </w:r>
      <w:r>
        <w:t>The publication candidate is reconciled to the Buy/Sell baseline and any supplemental decisions.</w:t>
      </w:r>
    </w:p>
    <w:p>
      <w:pPr>
        <w:pStyle w:val="CheckItem"/>
      </w:pPr>
      <w:r>
        <w:t xml:space="preserve">☐ </w:t>
      </w:r>
      <w:r>
        <w:t>A human performs the actual publication/distribution. The AI does not imply it published or coordinated the schedule.</w:t>
      </w:r>
    </w:p>
    <w:p>
      <w:pPr>
        <w:pStyle w:val="Heading2"/>
      </w:pPr>
      <w:r>
        <w:t>5.7 Execution-week reflows</w:t>
      </w:r>
    </w:p>
    <w:p>
      <w:r>
        <w:t>Once Friday publication occurs, the normal scheduling target changes from the next execution week to the current published execution week. Execution reflows preserve completed history, protect the published baseline, and use the minimum-change feasible solution unless human direction requires otherwise.</w:t>
      </w:r>
    </w:p>
    <w:p>
      <w:pPr>
        <w:pStyle w:val="CompactBullet"/>
      </w:pPr>
      <w:r>
        <w:t xml:space="preserve">• </w:t>
      </w:r>
      <w:r>
        <w:t>Daily Scheduler/Top 3 may make feasible delegated personnel and mission changes that remain within published flying times, aircraft turn pattern, coordinated support, and explicit DO guidance.</w:t>
      </w:r>
    </w:p>
    <w:p>
      <w:pPr>
        <w:pStyle w:val="CompactBullet"/>
      </w:pPr>
      <w:r>
        <w:t xml:space="preserve">• </w:t>
      </w:r>
      <w:r>
        <w:t>Significant changes or changes outside those boundaries require DO coordination/decision.</w:t>
      </w:r>
    </w:p>
    <w:p>
      <w:pPr>
        <w:pStyle w:val="CompactBullet"/>
      </w:pPr>
      <w:r>
        <w:t xml:space="preserve">• </w:t>
      </w:r>
      <w:r>
        <w:t>After a daily schedule is signed/distributed, annotate changes in PEX, Gonkulator (GONK), and the scheduling wall; label changes sequentially; distribute through the same channels; and obtain positive two-way contact with every affected person.</w:t>
      </w:r>
    </w:p>
    <w:p>
      <w:pPr>
        <w:pStyle w:val="Heading1"/>
      </w:pPr>
      <w:r>
        <w:t>6. SCHEDULE APPROVAL, PUBLICATION, AND CHANGE CONTROL</w:t>
      </w:r>
    </w:p>
    <w:p>
      <w:pPr>
        <w:pStyle w:val="Heading2"/>
      </w:pPr>
      <w:r>
        <w:t>6.1 Daily schedule approval</w:t>
      </w:r>
    </w:p>
    <w:p>
      <w:r>
        <w:t>The Daily Scheduler will complete the daily schedule checklist and present the next day’s schedule to OPS SUP as early as practical, but NLT 14 hours before the next day’s mass brief. By default, present the next day’s schedule to the morning Top 3.</w:t>
      </w:r>
    </w:p>
    <w:p>
      <w:pPr>
        <w:pStyle w:val="Heading2"/>
      </w:pPr>
      <w:r>
        <w:t>6.2 AFIMT 2407 highlights</w:t>
      </w:r>
    </w:p>
    <w:p>
      <w:r>
        <w:t>OPS SUP or DOS may approve AFIMT 2407s and should inform the DO as soon as practical. Complete the required notification list IAW ACCI 21-165, 8 FW Supplement, or its current successor. After the OG/CC signs the Ops/MX schedule, 2407s are required for the following changes:</w:t>
      </w:r>
    </w:p>
    <w:p>
      <w:pPr>
        <w:pStyle w:val="CheckItem"/>
      </w:pPr>
      <w:r>
        <w:t xml:space="preserve">☐ </w:t>
      </w:r>
      <w:r>
        <w:t>Takeoffs more than 15 minutes early.</w:t>
      </w:r>
    </w:p>
    <w:p>
      <w:pPr>
        <w:pStyle w:val="CheckItem"/>
      </w:pPr>
      <w:r>
        <w:t xml:space="preserve">☐ </w:t>
      </w:r>
      <w:r>
        <w:t>Land times more than 15 minutes late.</w:t>
      </w:r>
    </w:p>
    <w:p>
      <w:pPr>
        <w:pStyle w:val="CheckItem"/>
      </w:pPr>
      <w:r>
        <w:t xml:space="preserve">☐ </w:t>
      </w:r>
      <w:r>
        <w:t>Adding or subtracting lines.</w:t>
      </w:r>
    </w:p>
    <w:p>
      <w:pPr>
        <w:pStyle w:val="CheckItem"/>
      </w:pPr>
      <w:r>
        <w:t xml:space="preserve">☐ </w:t>
      </w:r>
      <w:r>
        <w:t>SCL changes.</w:t>
      </w:r>
    </w:p>
    <w:p>
      <w:pPr>
        <w:pStyle w:val="CheckItem"/>
      </w:pPr>
      <w:r>
        <w:t xml:space="preserve">☐ </w:t>
      </w:r>
      <w:r>
        <w:t>Changes to the number of rapid crew swaps.</w:t>
      </w:r>
    </w:p>
    <w:p>
      <w:pPr>
        <w:pStyle w:val="CheckItem"/>
      </w:pPr>
      <w:r>
        <w:t xml:space="preserve">☐ </w:t>
      </w:r>
      <w:r>
        <w:t>HHQ taskings.</w:t>
      </w:r>
    </w:p>
    <w:p>
      <w:pPr>
        <w:pStyle w:val="Heading1"/>
      </w:pPr>
      <w:r>
        <w:t>7. PILOT INPUTS AND AVAILABILITY</w:t>
      </w:r>
    </w:p>
    <w:p>
      <w:r>
        <w:t>Assigned pilots are assumed available unless they document otherwise in the GONK NLT Monday COB for the following week to the maximum extent practical. Attached pilots are requested to follow the same process.</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2088"/>
            <w:shd w:fill="5B9BD5"/>
            <w:tcMar>
              <w:top w:w="55" w:type="dxa"/>
              <w:start w:w="65" w:type="dxa"/>
              <w:bottom w:w="55" w:type="dxa"/>
              <w:end w:w="65" w:type="dxa"/>
            </w:tcMar>
            <w:vAlign w:val="center"/>
          </w:tcPr>
          <w:p>
            <w:pPr>
              <w:spacing w:after="0"/>
              <w:jc w:val="center"/>
            </w:pPr>
            <w:r>
              <w:rPr>
                <w:rFonts w:ascii="Arial" w:hAnsi="Arial"/>
                <w:b/>
                <w:color w:val="FFFFFF"/>
                <w:sz w:val="17"/>
              </w:rPr>
              <w:t>Code</w:t>
            </w:r>
          </w:p>
        </w:tc>
        <w:tc>
          <w:tcPr>
            <w:tcW w:type="dxa" w:w="8640"/>
            <w:shd w:fill="5B9BD5"/>
            <w:tcMar>
              <w:top w:w="55" w:type="dxa"/>
              <w:start w:w="65" w:type="dxa"/>
              <w:bottom w:w="55" w:type="dxa"/>
              <w:end w:w="65" w:type="dxa"/>
            </w:tcMar>
            <w:vAlign w:val="center"/>
          </w:tcPr>
          <w:p>
            <w:pPr>
              <w:spacing w:after="0"/>
              <w:jc w:val="center"/>
            </w:pPr>
            <w:r>
              <w:rPr>
                <w:rFonts w:ascii="Arial" w:hAnsi="Arial"/>
                <w:b/>
                <w:color w:val="FFFFFF"/>
                <w:sz w:val="17"/>
              </w:rPr>
              <w:t>Use</w:t>
            </w:r>
          </w:p>
        </w:tc>
      </w:tr>
      <w:tr>
        <w:trPr>
          <w:cantSplit/>
        </w:trPr>
        <w:tc>
          <w:tcPr>
            <w:tcW w:type="dxa" w:w="2088"/>
            <w:tcMar>
              <w:top w:w="55" w:type="dxa"/>
              <w:start w:w="65" w:type="dxa"/>
              <w:bottom w:w="55" w:type="dxa"/>
              <w:end w:w="65" w:type="dxa"/>
            </w:tcMar>
            <w:vAlign w:val="top"/>
          </w:tcPr>
          <w:p>
            <w:pPr>
              <w:spacing w:after="0"/>
            </w:pPr>
            <w:r>
              <w:rPr>
                <w:rFonts w:ascii="Arial" w:hAnsi="Arial"/>
                <w:sz w:val="17"/>
              </w:rPr>
              <w:t>UNAVAILABLE</w:t>
            </w:r>
          </w:p>
        </w:tc>
        <w:tc>
          <w:tcPr>
            <w:tcW w:type="dxa" w:w="8640"/>
            <w:tcMar>
              <w:top w:w="55" w:type="dxa"/>
              <w:start w:w="65" w:type="dxa"/>
              <w:bottom w:w="55" w:type="dxa"/>
              <w:end w:w="65" w:type="dxa"/>
            </w:tcMar>
            <w:vAlign w:val="top"/>
          </w:tcPr>
          <w:p>
            <w:pPr>
              <w:spacing w:after="0"/>
            </w:pPr>
            <w:r>
              <w:rPr>
                <w:rFonts w:ascii="Arial" w:hAnsi="Arial"/>
                <w:sz w:val="17"/>
              </w:rPr>
              <w:t>Mandatory immovable event, including crew rest, 24-hour rule, HHG pickup, or significant life event.</w:t>
            </w:r>
          </w:p>
        </w:tc>
      </w:tr>
      <w:tr>
        <w:trPr>
          <w:cantSplit/>
        </w:trPr>
        <w:tc>
          <w:tcPr>
            <w:tcW w:type="dxa" w:w="2088"/>
            <w:tcMar>
              <w:top w:w="55" w:type="dxa"/>
              <w:start w:w="65" w:type="dxa"/>
              <w:bottom w:w="55" w:type="dxa"/>
              <w:end w:w="65" w:type="dxa"/>
            </w:tcMar>
            <w:vAlign w:val="top"/>
          </w:tcPr>
          <w:p>
            <w:pPr>
              <w:spacing w:after="0"/>
            </w:pPr>
            <w:r>
              <w:rPr>
                <w:rFonts w:ascii="Arial" w:hAnsi="Arial"/>
                <w:sz w:val="17"/>
              </w:rPr>
              <w:t>MEETING</w:t>
            </w:r>
          </w:p>
        </w:tc>
        <w:tc>
          <w:tcPr>
            <w:tcW w:type="dxa" w:w="8640"/>
            <w:tcMar>
              <w:top w:w="55" w:type="dxa"/>
              <w:start w:w="65" w:type="dxa"/>
              <w:bottom w:w="55" w:type="dxa"/>
              <w:end w:w="65" w:type="dxa"/>
            </w:tcMar>
            <w:vAlign w:val="top"/>
          </w:tcPr>
          <w:p>
            <w:pPr>
              <w:spacing w:after="0"/>
            </w:pPr>
            <w:r>
              <w:rPr>
                <w:rFonts w:ascii="Arial" w:hAnsi="Arial"/>
                <w:sz w:val="17"/>
              </w:rPr>
              <w:t>Event that may be moved but requires pre-coordination. Include exact location and time.</w:t>
            </w:r>
          </w:p>
        </w:tc>
      </w:tr>
      <w:tr>
        <w:trPr>
          <w:cantSplit/>
        </w:trPr>
        <w:tc>
          <w:tcPr>
            <w:tcW w:type="dxa" w:w="2088"/>
            <w:tcMar>
              <w:top w:w="55" w:type="dxa"/>
              <w:start w:w="65" w:type="dxa"/>
              <w:bottom w:w="55" w:type="dxa"/>
              <w:end w:w="65" w:type="dxa"/>
            </w:tcMar>
            <w:vAlign w:val="top"/>
          </w:tcPr>
          <w:p>
            <w:pPr>
              <w:spacing w:after="0"/>
            </w:pPr>
            <w:r>
              <w:rPr>
                <w:rFonts w:ascii="Arial" w:hAnsi="Arial"/>
                <w:sz w:val="17"/>
              </w:rPr>
              <w:t>LEAVE</w:t>
            </w:r>
          </w:p>
        </w:tc>
        <w:tc>
          <w:tcPr>
            <w:tcW w:type="dxa" w:w="8640"/>
            <w:tcMar>
              <w:top w:w="55" w:type="dxa"/>
              <w:start w:w="65" w:type="dxa"/>
              <w:bottom w:w="55" w:type="dxa"/>
              <w:end w:w="65" w:type="dxa"/>
            </w:tcMar>
            <w:vAlign w:val="top"/>
          </w:tcPr>
          <w:p>
            <w:pPr>
              <w:spacing w:after="0"/>
            </w:pPr>
            <w:r>
              <w:rPr>
                <w:rFonts w:ascii="Arial" w:hAnsi="Arial"/>
                <w:sz w:val="17"/>
              </w:rPr>
              <w:t>Approved leave.</w:t>
            </w:r>
          </w:p>
        </w:tc>
      </w:tr>
      <w:tr>
        <w:trPr>
          <w:cantSplit/>
        </w:trPr>
        <w:tc>
          <w:tcPr>
            <w:tcW w:type="dxa" w:w="2088"/>
            <w:tcMar>
              <w:top w:w="55" w:type="dxa"/>
              <w:start w:w="65" w:type="dxa"/>
              <w:bottom w:w="55" w:type="dxa"/>
              <w:end w:w="65" w:type="dxa"/>
            </w:tcMar>
            <w:vAlign w:val="top"/>
          </w:tcPr>
          <w:p>
            <w:pPr>
              <w:spacing w:after="0"/>
            </w:pPr>
            <w:r>
              <w:rPr>
                <w:rFonts w:ascii="Arial" w:hAnsi="Arial"/>
                <w:sz w:val="17"/>
              </w:rPr>
              <w:t>TDY</w:t>
            </w:r>
          </w:p>
        </w:tc>
        <w:tc>
          <w:tcPr>
            <w:tcW w:type="dxa" w:w="8640"/>
            <w:tcMar>
              <w:top w:w="55" w:type="dxa"/>
              <w:start w:w="65" w:type="dxa"/>
              <w:bottom w:w="55" w:type="dxa"/>
              <w:end w:w="65" w:type="dxa"/>
            </w:tcMar>
            <w:vAlign w:val="top"/>
          </w:tcPr>
          <w:p>
            <w:pPr>
              <w:spacing w:after="0"/>
            </w:pPr>
            <w:r>
              <w:rPr>
                <w:rFonts w:ascii="Arial" w:hAnsi="Arial"/>
                <w:sz w:val="17"/>
              </w:rPr>
              <w:t>Temporary duty.</w:t>
            </w:r>
          </w:p>
        </w:tc>
      </w:tr>
    </w:tbl>
    <w:p>
      <w:pPr>
        <w:spacing w:after="0"/>
      </w:pPr>
    </w:p>
    <w:p>
      <w:r>
        <w:t>Personal scheduling requests will be routed through the Flight Commander NLT Monday COB. Tentative or conflicting availability is treated conservatively until resolved. Do not require sensitive personal explanations in the scheduling record.</w:t>
      </w:r>
    </w:p>
    <w:p>
      <w:pPr>
        <w:pStyle w:val="Heading1"/>
      </w:pPr>
      <w:r>
        <w:t>8. WEEKLY / DAILY RULES OF ENGAGEMENT</w:t>
      </w:r>
    </w:p>
    <w:p>
      <w:pPr>
        <w:pStyle w:val="CheckItem"/>
      </w:pPr>
      <w:r>
        <w:t xml:space="preserve">☐ </w:t>
      </w:r>
      <w:r>
        <w:t>Keep pilots on the same battle rhythm throughout the week by exception. Day-to-night turns are case-by-case.</w:t>
      </w:r>
    </w:p>
    <w:p>
      <w:pPr>
        <w:pStyle w:val="CheckItem"/>
      </w:pPr>
      <w:r>
        <w:t xml:space="preserve">☐ </w:t>
      </w:r>
      <w:r>
        <w:t>Weekly schedulers may forecast Week + 2 to improve quality of life, especially for upgrades.</w:t>
      </w:r>
    </w:p>
    <w:p>
      <w:pPr>
        <w:pStyle w:val="CheckItem"/>
      </w:pPr>
      <w:r>
        <w:t xml:space="preserve">☐ </w:t>
      </w:r>
      <w:r>
        <w:t>Avoid Monday upgrades to the maximum extent practical unless the event is a non-missionized MQT sortie or a non-missionized IPUG/FLUG sortie with the previous Friday protected for preparation. Prefer IPUG pit events Tuesday/Thursday when practical.</w:t>
      </w:r>
    </w:p>
    <w:p>
      <w:pPr>
        <w:pStyle w:val="CheckItem"/>
      </w:pPr>
      <w:r>
        <w:t xml:space="preserve">☐ </w:t>
      </w:r>
      <w:r>
        <w:t>Protect the day before an upgrade event for preparation to the maximum extent practical. Like-sortie repeat looks may use back-to-back days. Dissimilar progression should retain a preparation day; deviations require Flight Commander and DO approval.</w:t>
      </w:r>
    </w:p>
    <w:p>
      <w:pPr>
        <w:pStyle w:val="CheckItem"/>
      </w:pPr>
      <w:r>
        <w:t xml:space="preserve">☐ </w:t>
      </w:r>
      <w:r>
        <w:t>Use backup days for upgrades where practical to reduce shotgun reflow.</w:t>
      </w:r>
    </w:p>
    <w:p>
      <w:pPr>
        <w:pStyle w:val="CheckItem"/>
      </w:pPr>
      <w:r>
        <w:t xml:space="preserve">☐ </w:t>
      </w:r>
      <w:r>
        <w:t>Protect spares; do not convert a protected spare to a primary merely to increase planned production unless directed by the appropriate human authority.</w:t>
      </w:r>
    </w:p>
    <w:p>
      <w:pPr>
        <w:pStyle w:val="CheckItem"/>
      </w:pPr>
      <w:r>
        <w:t xml:space="preserve">☐ </w:t>
      </w:r>
      <w:r>
        <w:t>Apply mission/weather sensitivity, configuration and phase-plan logic rather than treating all sorties as equally movable.</w:t>
      </w:r>
    </w:p>
    <w:p>
      <w:pPr>
        <w:pStyle w:val="CheckItem"/>
      </w:pPr>
      <w:r>
        <w:t xml:space="preserve">☐ </w:t>
      </w:r>
      <w:r>
        <w:t>Track instructor workload across flights, sims, academics, complexity and consecutive high-workload days.</w:t>
      </w:r>
    </w:p>
    <w:p>
      <w:r>
        <w:t>Standing priorities remain subject to current DO guidance. Historical local priorities include grounding currencies due next week; checkrides/EPEs approaching due windows; IPUG, MQT and FLUG progression; NCMR events due next week; RAP; and deliberate availability of Flight Commanders/DOW for integration and Buy/Sell. Use current leadership direction when it differs.</w:t>
      </w:r>
    </w:p>
    <w:p>
      <w:pPr>
        <w:pStyle w:val="Heading1"/>
      </w:pPr>
      <w:r>
        <w:t>9. CONTINUITY RECORDS</w:t>
      </w:r>
    </w:p>
    <w:p>
      <w:pPr>
        <w:pStyle w:val="CheckItem"/>
      </w:pPr>
      <w:r>
        <w:t xml:space="preserve">☐ </w:t>
      </w:r>
      <w:r>
        <w:t>Preserve meaningful presented, Buy/Sell, published and signed-daily schedule versions.</w:t>
      </w:r>
    </w:p>
    <w:p>
      <w:pPr>
        <w:pStyle w:val="CheckItem"/>
      </w:pPr>
      <w:r>
        <w:t xml:space="preserve">☐ </w:t>
      </w:r>
      <w:r>
        <w:t>Retain the product manifest, Weekly Publication Rule Ledger, D-### decision record, material QC reports and handoff record in the weekly Working Record.</w:t>
      </w:r>
    </w:p>
    <w:p>
      <w:pPr>
        <w:pStyle w:val="CheckItem"/>
      </w:pPr>
      <w:r>
        <w:t xml:space="preserve">☐ </w:t>
      </w:r>
      <w:r>
        <w:t>Do not upload operational products to GitHub. Repository continuity guides, templates and system instructions are unclassified process references only.</w:t>
      </w:r>
    </w:p>
    <w:p>
      <w:pPr>
        <w:pStyle w:val="CheckItem"/>
      </w:pPr>
      <w:r>
        <w:t xml:space="preserve">☐ </w:t>
      </w:r>
      <w:r>
        <w:t>When the local scheduling process changes materially, deliberately review this SOP and the detailed weekly checklist so continuity documents remain aligned with practice.</w:t>
      </w:r>
    </w:p>
    <w:sectPr w:rsidR="00FC693F" w:rsidRPr="0006063C" w:rsidSect="00034616">
      <w:headerReference w:type="default" r:id="rId9"/>
      <w:footerReference w:type="default" r:id="rId10"/>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5"/>
      </w:rPr>
      <w:t>35 FS Scheduling Continuity Reference | CAO 17 Sept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5"/>
      </w:rPr>
      <w:t>35 FS Scheduling SOP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F4E78"/>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F4E78"/>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iCs/>
      <w:color w:val="66666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20"/>
      <w:ind w:left="317" w:hanging="202"/>
    </w:pPr>
    <w:rPr>
      <w:rFonts w:ascii="Arial" w:hAnsi="Arial"/>
      <w:sz w:val="18"/>
    </w:rPr>
  </w:style>
  <w:style w:type="paragraph" w:customStyle="1" w:styleId="CheckItem">
    <w:name w:val="Check Item"/>
    <w:pPr>
      <w:spacing w:after="20"/>
      <w:ind w:left="288" w:hanging="230"/>
    </w:pPr>
    <w:rPr>
      <w:rFonts w:ascii="Arial" w:hAnsi="Arial"/>
      <w:sz w:val="18"/>
    </w:rPr>
  </w:style>
  <w:style w:type="paragraph" w:customStyle="1" w:styleId="Small">
    <w:name w:val="Small"/>
    <w:pPr>
      <w:spacing w:after="20"/>
    </w:pPr>
    <w:rPr>
      <w:rFonts w:ascii="Arial" w:hAnsi="Arial"/>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