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color w:val="1F4E78"/>
          <w:sz w:val="28"/>
        </w:rPr>
        <w:t>Panton's Push It Up!</w:t>
      </w:r>
    </w:p>
    <w:p>
      <w:pPr>
        <w:pStyle w:val="Title"/>
        <w:jc w:val="center"/>
      </w:pPr>
      <w:r>
        <w:t>WEEKLY SCHEDULING QC, INTEGRATION &amp; BUY/SELL CHECKLIST</w:t>
      </w:r>
    </w:p>
    <w:p>
      <w:pPr>
        <w:pStyle w:val="Subtitle"/>
        <w:jc w:val="center"/>
      </w:pPr>
      <w:r>
        <w:t>35th Fighter Squadron | Updated 17 Sept 2026</w:t>
      </w:r>
    </w:p>
    <w:tbl>
      <w:tblPr>
        <w:tblW w:type="auto" w:w="0"/>
        <w:jc w:val="center"/>
        <w:tblLayout w:type="autofit"/>
        <w:tblLook w:firstColumn="1" w:firstRow="1" w:lastColumn="0" w:lastRow="0" w:noHBand="0" w:noVBand="1" w:val="04A0"/>
      </w:tblPr>
      <w:tblGrid>
        <w:gridCol w:w="10512"/>
      </w:tblGrid>
      <w:tr>
        <w:tc>
          <w:tcPr>
            <w:tcW w:type="dxa" w:w="10512"/>
            <w:shd w:fill="FFF2CC"/>
            <w:tcMar>
              <w:top w:w="90" w:type="dxa"/>
              <w:start w:w="110" w:type="dxa"/>
              <w:bottom w:w="90" w:type="dxa"/>
              <w:end w:w="110" w:type="dxa"/>
            </w:tcMar>
          </w:tcPr>
          <w:p>
            <w:pPr>
              <w:spacing w:after="0"/>
            </w:pPr>
            <w:r>
              <w:rPr>
                <w:rFonts w:ascii="Arial" w:hAnsi="Arial"/>
                <w:b/>
                <w:color w:val="1F4E78"/>
                <w:sz w:val="18"/>
              </w:rPr>
              <w:t xml:space="preserve">USE: </w:t>
            </w:r>
            <w:r>
              <w:rPr>
                <w:rFonts w:ascii="Arial" w:hAnsi="Arial"/>
                <w:sz w:val="18"/>
              </w:rPr>
              <w:t>The AI and scheduler default to the next execution week unless specifically told otherwise. The AI infers dates, workflow step, active schedule, and baselines from the uploaded products and conversation. Correct an inference only when it is wrong; do not complete a startup form.</w:t>
            </w:r>
          </w:p>
        </w:tc>
      </w:tr>
    </w:tbl>
    <w:p>
      <w:pPr>
        <w:spacing w:after="0"/>
      </w:pPr>
    </w:p>
    <w:tbl>
      <w:tblPr>
        <w:tblStyle w:val="TableGrid"/>
        <w:tblW w:type="auto" w:w="0"/>
        <w:jc w:val="center"/>
        <w:tblLayout w:type="fixed"/>
        <w:tblLook w:firstColumn="1" w:firstRow="1" w:lastColumn="0" w:lastRow="0" w:noHBand="0" w:noVBand="1" w:val="04A0"/>
      </w:tblPr>
      <w:tblGrid>
        <w:gridCol w:w="3504"/>
        <w:gridCol w:w="3504"/>
        <w:gridCol w:w="3504"/>
      </w:tblGrid>
      <w:tr>
        <w:trPr>
          <w:tblHeader w:val="true"/>
          <w:cantSplit/>
        </w:trPr>
        <w:tc>
          <w:tcPr>
            <w:tcW w:type="dxa" w:w="3672"/>
            <w:shd w:fill="7F8C8D"/>
            <w:tcMar>
              <w:top w:w="55" w:type="dxa"/>
              <w:start w:w="65" w:type="dxa"/>
              <w:bottom w:w="55" w:type="dxa"/>
              <w:end w:w="65" w:type="dxa"/>
            </w:tcMar>
            <w:vAlign w:val="center"/>
          </w:tcPr>
          <w:p>
            <w:pPr>
              <w:spacing w:after="0"/>
              <w:jc w:val="center"/>
            </w:pPr>
            <w:r>
              <w:rPr>
                <w:rFonts w:ascii="Arial" w:hAnsi="Arial"/>
                <w:b/>
                <w:color w:val="FFFFFF"/>
                <w:sz w:val="16"/>
              </w:rPr>
              <w:t>Schedule under review</w:t>
            </w:r>
          </w:p>
        </w:tc>
        <w:tc>
          <w:tcPr>
            <w:tcW w:type="dxa" w:w="3672"/>
            <w:shd w:fill="7F8C8D"/>
            <w:tcMar>
              <w:top w:w="55" w:type="dxa"/>
              <w:start w:w="65" w:type="dxa"/>
              <w:bottom w:w="55" w:type="dxa"/>
              <w:end w:w="65" w:type="dxa"/>
            </w:tcMar>
            <w:vAlign w:val="center"/>
          </w:tcPr>
          <w:p>
            <w:pPr>
              <w:spacing w:after="0"/>
              <w:jc w:val="center"/>
            </w:pPr>
            <w:r>
              <w:rPr>
                <w:rFonts w:ascii="Arial" w:hAnsi="Arial"/>
                <w:b/>
                <w:color w:val="FFFFFF"/>
                <w:sz w:val="16"/>
              </w:rPr>
              <w:t>Weekly scheduler</w:t>
            </w:r>
          </w:p>
        </w:tc>
        <w:tc>
          <w:tcPr>
            <w:tcW w:type="dxa" w:w="3456"/>
            <w:shd w:fill="7F8C8D"/>
            <w:tcMar>
              <w:top w:w="55" w:type="dxa"/>
              <w:start w:w="65" w:type="dxa"/>
              <w:bottom w:w="55" w:type="dxa"/>
              <w:end w:w="65" w:type="dxa"/>
            </w:tcMar>
            <w:vAlign w:val="center"/>
          </w:tcPr>
          <w:p>
            <w:pPr>
              <w:spacing w:after="0"/>
              <w:jc w:val="center"/>
            </w:pPr>
            <w:r>
              <w:rPr>
                <w:rFonts w:ascii="Arial" w:hAnsi="Arial"/>
                <w:b/>
                <w:color w:val="FFFFFF"/>
                <w:sz w:val="16"/>
              </w:rPr>
              <w:t>Execution week</w:t>
            </w:r>
          </w:p>
        </w:tc>
      </w:tr>
      <w:tr>
        <w:trPr>
          <w:cantSplit/>
        </w:trPr>
        <w:tc>
          <w:tcPr>
            <w:tcW w:type="dxa" w:w="3672"/>
            <w:tcMar>
              <w:top w:w="55" w:type="dxa"/>
              <w:start w:w="65" w:type="dxa"/>
              <w:bottom w:w="55" w:type="dxa"/>
              <w:end w:w="65" w:type="dxa"/>
            </w:tcMar>
            <w:vAlign w:val="top"/>
          </w:tcPr>
          <w:p>
            <w:pPr>
              <w:spacing w:after="0"/>
            </w:pPr>
            <w:r>
              <w:rPr>
                <w:rFonts w:ascii="Arial" w:hAnsi="Arial"/>
                <w:sz w:val="16"/>
              </w:rPr>
              <w:t>____________________________</w:t>
            </w:r>
          </w:p>
        </w:tc>
        <w:tc>
          <w:tcPr>
            <w:tcW w:type="dxa" w:w="3672"/>
            <w:tcMar>
              <w:top w:w="55" w:type="dxa"/>
              <w:start w:w="65" w:type="dxa"/>
              <w:bottom w:w="55" w:type="dxa"/>
              <w:end w:w="65" w:type="dxa"/>
            </w:tcMar>
            <w:vAlign w:val="top"/>
          </w:tcPr>
          <w:p>
            <w:pPr>
              <w:spacing w:after="0"/>
            </w:pPr>
            <w:r>
              <w:rPr>
                <w:rFonts w:ascii="Arial" w:hAnsi="Arial"/>
                <w:sz w:val="16"/>
              </w:rPr>
              <w:t>____________________________</w:t>
            </w:r>
          </w:p>
        </w:tc>
        <w:tc>
          <w:tcPr>
            <w:tcW w:type="dxa" w:w="3456"/>
            <w:tcMar>
              <w:top w:w="55" w:type="dxa"/>
              <w:start w:w="65" w:type="dxa"/>
              <w:bottom w:w="55" w:type="dxa"/>
              <w:end w:w="65" w:type="dxa"/>
            </w:tcMar>
            <w:vAlign w:val="top"/>
          </w:tcPr>
          <w:p>
            <w:pPr>
              <w:spacing w:after="0"/>
            </w:pPr>
            <w:r>
              <w:rPr>
                <w:rFonts w:ascii="Arial" w:hAnsi="Arial"/>
                <w:sz w:val="16"/>
              </w:rPr>
              <w:t>____________________________</w:t>
            </w:r>
          </w:p>
        </w:tc>
      </w:tr>
    </w:tbl>
    <w:p>
      <w:pPr>
        <w:spacing w:after="0"/>
      </w:pPr>
    </w:p>
    <w:p>
      <w:pPr>
        <w:pStyle w:val="Heading1"/>
      </w:pPr>
      <w:r>
        <w:t>PART I - SOURCE / PRODUCT READINESS</w:t>
      </w:r>
    </w:p>
    <w:p>
      <w:pPr>
        <w:pStyle w:val="CheckItem"/>
      </w:pPr>
      <w:r>
        <w:t xml:space="preserve">☐ </w:t>
      </w:r>
      <w:r>
        <w:t>Monday inputs received or late/missing owners identified: DO priorities, Flight Commander inputs, Stan/Eval, training/currency/qualification, leave/commitments, LOX/roster, maintenance turn/configuration/spares, sims, airspace/range/tanker/support, phase plan and relevant weather.</w:t>
      </w:r>
    </w:p>
    <w:p>
      <w:pPr>
        <w:pStyle w:val="CheckItem"/>
      </w:pPr>
      <w:r>
        <w:t xml:space="preserve">☐ </w:t>
      </w:r>
      <w:r>
        <w:t>Every supplied product classified CURRENT, STALE, PARTIAL, CONFLICTED, INTEGRITY FAILED, UNREADABLE, or SUPERSEDED; affected checks are explicitly identified.</w:t>
      </w:r>
    </w:p>
    <w:p>
      <w:pPr>
        <w:pStyle w:val="CheckItem"/>
      </w:pPr>
      <w:r>
        <w:t xml:space="preserve">☐ </w:t>
      </w:r>
      <w:r>
        <w:t>Calculated/person-specific sources pass identity-linkage and formula/lookup integrity checks. Prefer stable identifiers when available. Material identity/formula defects are INTEGRITY FAILED and affected cached values are not used.</w:t>
      </w:r>
    </w:p>
    <w:p>
      <w:pPr>
        <w:pStyle w:val="CheckItem"/>
      </w:pPr>
      <w:r>
        <w:t xml:space="preserve">☐ </w:t>
      </w:r>
      <w:r>
        <w:t>Conflicting sources are resolved or visibly carried as conflicts; no plausible value is selected merely to make the packet look complete.</w:t>
      </w:r>
    </w:p>
    <w:p>
      <w:pPr>
        <w:pStyle w:val="CheckItem"/>
      </w:pPr>
      <w:r>
        <w:t xml:space="preserve">☐ </w:t>
      </w:r>
      <w:r>
        <w:t>Current schedule version and comparison baseline are unambiguous; if not, human selects the controlling version.</w:t>
      </w:r>
    </w:p>
    <w:p>
      <w:pPr>
        <w:pStyle w:val="CheckItem"/>
      </w:pPr>
      <w:r>
        <w:t xml:space="preserve">☐ </w:t>
      </w:r>
      <w:r>
        <w:t>GAMECHANGER connector availability confirmed. Publication-derived regulatory determinations use only connector-retrieved publications; no model-memory or ordinary-web fallback.</w:t>
      </w:r>
    </w:p>
    <w:p>
      <w:pPr>
        <w:pStyle w:val="CheckItem"/>
      </w:pPr>
      <w:r>
        <w:t xml:space="preserve">☐ </w:t>
      </w:r>
      <w:r>
        <w:t>Weekly Publication Rule Ledger contains traceable P-### entries for applicable rules or CANNOT VERIFY / SOURCE CONFLICT where evidence is insufficient.</w:t>
      </w:r>
    </w:p>
    <w:p>
      <w:pPr>
        <w:pStyle w:val="Heading1"/>
      </w:pPr>
      <w:r>
        <w:t>PART II - TUESDAY INTAKE / PLANNING</w:t>
      </w:r>
    </w:p>
    <w:p>
      <w:pPr>
        <w:pStyle w:val="Heading2"/>
      </w:pPr>
      <w:r>
        <w:t>A. Planning picture</w:t>
      </w:r>
    </w:p>
    <w:p>
      <w:pPr>
        <w:pStyle w:val="CheckItem"/>
      </w:pPr>
      <w:r>
        <w:t xml:space="preserve">☐ </w:t>
      </w:r>
      <w:r>
        <w:t>Material missing/late/stale inputs converted into targeted questions or owner actions; no unnecessary startup questionnaire.</w:t>
      </w:r>
    </w:p>
    <w:p>
      <w:pPr>
        <w:pStyle w:val="CheckItem"/>
      </w:pPr>
      <w:r>
        <w:t xml:space="preserve">☐ </w:t>
      </w:r>
      <w:r>
        <w:t>Checkrides/evaluations identified by documented due date/window, prerequisites, evaluator availability, future leave/TDY and leadership priority.</w:t>
      </w:r>
    </w:p>
    <w:p>
      <w:pPr>
        <w:pStyle w:val="CheckItem"/>
      </w:pPr>
      <w:r>
        <w:t xml:space="preserve">☐ </w:t>
      </w:r>
      <w:r>
        <w:t>Directed DV/senior-leader flyers identified only from explicit direction or source evidence; rank/title alone is not treated as a flying requirement.</w:t>
      </w:r>
    </w:p>
    <w:p>
      <w:pPr>
        <w:pStyle w:val="CheckItem"/>
      </w:pPr>
      <w:r>
        <w:t xml:space="preserve">☐ </w:t>
      </w:r>
      <w:r>
        <w:t>Every active upgradee reviewed for next legal event(s), prerequisites, desired weekly pace, instructor/resource demand, candidate windows, backups and completion risk.</w:t>
      </w:r>
    </w:p>
    <w:p>
      <w:pPr>
        <w:pStyle w:val="CheckItem"/>
      </w:pPr>
      <w:r>
        <w:t xml:space="preserve">☐ </w:t>
      </w:r>
      <w:r>
        <w:t>Major aircraft/configuration, simulator, range, tanker, support, weather and personnel constraints are visible before the human build starts.</w:t>
      </w:r>
    </w:p>
    <w:p>
      <w:pPr>
        <w:pStyle w:val="CheckItem"/>
      </w:pPr>
      <w:r>
        <w:t xml:space="preserve">☐ </w:t>
      </w:r>
      <w:r>
        <w:t>Initial 30-day outlook identifies On Track / Watch / At Risk upgrades and required weekly pace, including no-fly weeks or known absences.</w:t>
      </w:r>
    </w:p>
    <w:p>
      <w:pPr>
        <w:pStyle w:val="Heading2"/>
      </w:pPr>
      <w:r>
        <w:t>B. Resource / big-picture planning</w:t>
      </w:r>
    </w:p>
    <w:p>
      <w:pPr>
        <w:pStyle w:val="CheckItem"/>
      </w:pPr>
      <w:r>
        <w:t xml:space="preserve">☐ </w:t>
      </w:r>
      <w:r>
        <w:t>Exercises / LFEs / dissimilar support / external commitments.</w:t>
      </w:r>
    </w:p>
    <w:p>
      <w:pPr>
        <w:pStyle w:val="CheckItem"/>
      </w:pPr>
      <w:r>
        <w:t xml:space="preserve">☐ </w:t>
      </w:r>
      <w:r>
        <w:t>Training phase and planned configuration transition dates.</w:t>
      </w:r>
    </w:p>
    <w:p>
      <w:pPr>
        <w:pStyle w:val="CheckItem"/>
      </w:pPr>
      <w:r>
        <w:t xml:space="preserve">☐ </w:t>
      </w:r>
      <w:r>
        <w:t>Day/night flying windows and turn pattern; early/late go implications.</w:t>
      </w:r>
    </w:p>
    <w:p>
      <w:pPr>
        <w:pStyle w:val="CheckItem"/>
      </w:pPr>
      <w:r>
        <w:t xml:space="preserve">☐ </w:t>
      </w:r>
      <w:r>
        <w:t>Kunsan out-and-back, depot/AOS or other special missions; 48-hour or local constraints as applicable.</w:t>
      </w:r>
    </w:p>
    <w:p>
      <w:pPr>
        <w:pStyle w:val="CheckItem"/>
      </w:pPr>
      <w:r>
        <w:t xml:space="preserve">☐ </w:t>
      </w:r>
      <w:r>
        <w:t>Tankers / hot pits / adversary / TAC C2 / JTAC / other external support.</w:t>
      </w:r>
    </w:p>
    <w:p>
      <w:pPr>
        <w:pStyle w:val="CheckItem"/>
      </w:pPr>
      <w:r>
        <w:t xml:space="preserve">☐ </w:t>
      </w:r>
      <w:r>
        <w:t>Aircraft configurations, D-model needs, munitions/live-inert-gun requirements, range status.</w:t>
      </w:r>
    </w:p>
    <w:p>
      <w:pPr>
        <w:pStyle w:val="CheckItem"/>
      </w:pPr>
      <w:r>
        <w:t xml:space="preserve">☐ </w:t>
      </w:r>
      <w:r>
        <w:t>Airspace owned / sellbacks / requests and brief, takeoff, land, turn, RNET / quiet-hours constraints.</w:t>
      </w:r>
    </w:p>
    <w:p>
      <w:pPr>
        <w:pStyle w:val="CheckItem"/>
      </w:pPr>
      <w:r>
        <w:t xml:space="preserve">☐ </w:t>
      </w:r>
      <w:r>
        <w:t>Simulator capacity/status (MTC, UTD, WTT) and required GCI or support.</w:t>
      </w:r>
    </w:p>
    <w:p>
      <w:r>
        <w:br w:type="page"/>
      </w:r>
    </w:p>
    <w:p>
      <w:pPr>
        <w:pStyle w:val="Heading1"/>
      </w:pPr>
      <w:r>
        <w:t>PART III - WEDNESDAY HUMAN BUILD &amp; CROSS-FUNCTIONAL INTEGRATION</w:t>
      </w:r>
    </w:p>
    <w:p>
      <w:pPr>
        <w:pStyle w:val="Heading2"/>
      </w:pPr>
      <w:r>
        <w:t>A. Human build</w:t>
      </w:r>
    </w:p>
    <w:p>
      <w:pPr>
        <w:pStyle w:val="CheckItem"/>
      </w:pPr>
      <w:r>
        <w:t xml:space="preserve">☐ </w:t>
      </w:r>
      <w:r>
        <w:t>Schedulers, not the AI, built the bulk of the lineup.</w:t>
      </w:r>
    </w:p>
    <w:p>
      <w:pPr>
        <w:pStyle w:val="CheckItem"/>
      </w:pPr>
      <w:r>
        <w:t xml:space="preserve">☐ </w:t>
      </w:r>
      <w:r>
        <w:t>Working draft uses the latest clearly identified schedule version and current source products.</w:t>
      </w:r>
    </w:p>
    <w:p>
      <w:pPr>
        <w:pStyle w:val="CheckItem"/>
      </w:pPr>
      <w:r>
        <w:t xml:space="preserve">☐ </w:t>
      </w:r>
      <w:r>
        <w:t>Placement/cascade questions checked against availability, duty boundaries, qualifications, prerequisites, IP/evaluator requirements, formation roles, aircraft/configuration, primary lines, protected spares, sim/range/tanker/support, backups and displaced training.</w:t>
      </w:r>
    </w:p>
    <w:p>
      <w:pPr>
        <w:pStyle w:val="CheckItem"/>
      </w:pPr>
      <w:r>
        <w:t xml:space="preserve">☐ </w:t>
      </w:r>
      <w:r>
        <w:t>Smallest fully feasible change considered first; broader options separated as recommendations.</w:t>
      </w:r>
    </w:p>
    <w:p>
      <w:pPr>
        <w:pStyle w:val="Heading2"/>
      </w:pPr>
      <w:r>
        <w:t>B. Cross-Functional Schedule Integration Review</w:t>
      </w:r>
    </w:p>
    <w:tbl>
      <w:tblPr>
        <w:tblW w:type="auto" w:w="0"/>
        <w:jc w:val="center"/>
        <w:tblLayout w:type="autofit"/>
        <w:tblLook w:firstColumn="1" w:firstRow="1" w:lastColumn="0" w:lastRow="0" w:noHBand="0" w:noVBand="1" w:val="04A0"/>
      </w:tblPr>
      <w:tblGrid>
        <w:gridCol w:w="10512"/>
      </w:tblGrid>
      <w:tr>
        <w:tc>
          <w:tcPr>
            <w:tcW w:type="dxa" w:w="10512"/>
            <w:shd w:fill="D9EAF7"/>
            <w:tcMar>
              <w:top w:w="90" w:type="dxa"/>
              <w:start w:w="110" w:type="dxa"/>
              <w:bottom w:w="90" w:type="dxa"/>
              <w:end w:w="110" w:type="dxa"/>
            </w:tcMar>
          </w:tcPr>
          <w:p>
            <w:pPr>
              <w:spacing w:after="0"/>
            </w:pPr>
            <w:r>
              <w:rPr>
                <w:rFonts w:ascii="Arial" w:hAnsi="Arial"/>
                <w:b/>
                <w:color w:val="1F4E78"/>
                <w:sz w:val="18"/>
              </w:rPr>
              <w:t xml:space="preserve">IMPORTANT: </w:t>
            </w:r>
            <w:r>
              <w:rPr>
                <w:rFonts w:ascii="Arial" w:hAnsi="Arial"/>
                <w:sz w:val="18"/>
              </w:rPr>
              <w:t>Wednesday integration is NOT a Buy, Buy/Sell, or approval event. Its purpose is to verify representation of functional inputs, disposition issues, and prepare exact DO decisions for Thursday.</w:t>
            </w:r>
          </w:p>
        </w:tc>
      </w:tr>
    </w:tbl>
    <w:p>
      <w:pPr>
        <w:spacing w:after="0"/>
      </w:pPr>
    </w:p>
    <w:p>
      <w:pPr>
        <w:pStyle w:val="CheckItem"/>
      </w:pPr>
      <w:r>
        <w:t xml:space="preserve">☐ </w:t>
      </w:r>
      <w:r>
        <w:t>Exact integrated draft selected and recorded for Thursday QC.</w:t>
      </w:r>
    </w:p>
    <w:p>
      <w:pPr>
        <w:pStyle w:val="CheckItem"/>
      </w:pPr>
      <w:r>
        <w:t xml:space="preserve">☐ </w:t>
      </w:r>
      <w:r>
        <w:t>Flight Commander inputs represented or explicitly dispositioned.</w:t>
      </w:r>
    </w:p>
    <w:p>
      <w:pPr>
        <w:pStyle w:val="CheckItem"/>
      </w:pPr>
      <w:r>
        <w:t xml:space="preserve">☐ </w:t>
      </w:r>
      <w:r>
        <w:t>CCV / Stan-Eval inputs represented: I/Q and mission checks, certs, EPEs/practice EPEs, testing and Stan/Eval requirements.</w:t>
      </w:r>
    </w:p>
    <w:p>
      <w:pPr>
        <w:pStyle w:val="CheckItem"/>
      </w:pPr>
      <w:r>
        <w:t xml:space="preserve">☐ </w:t>
      </w:r>
      <w:r>
        <w:t>DOT / Training inputs represented: RAP, currencies, ground training, scheduled training/training days, FNG prerequisites and required interviews/checklists.</w:t>
      </w:r>
    </w:p>
    <w:p>
      <w:pPr>
        <w:pStyle w:val="CheckItem"/>
      </w:pPr>
      <w:r>
        <w:t xml:space="preserve">☐ </w:t>
      </w:r>
      <w:r>
        <w:t>DOW inputs represented: phase plan, weapons/academics, upgrade priorities and configuration transition dependencies.</w:t>
      </w:r>
    </w:p>
    <w:p>
      <w:pPr>
        <w:pStyle w:val="CheckItem"/>
      </w:pPr>
      <w:r>
        <w:t xml:space="preserve">☐ </w:t>
      </w:r>
      <w:r>
        <w:t>DOS inputs represented: airspace, ranges, tankers/support, times and exercise requirements.</w:t>
      </w:r>
    </w:p>
    <w:p>
      <w:pPr>
        <w:pStyle w:val="CheckItem"/>
      </w:pPr>
      <w:r>
        <w:t xml:space="preserve">☐ </w:t>
      </w:r>
      <w:r>
        <w:t>DOX / maintenance/support inputs represented: turn pattern, configurations, line availability, spares, weapons and support limits.</w:t>
      </w:r>
    </w:p>
    <w:p>
      <w:pPr>
        <w:pStyle w:val="CheckItem"/>
      </w:pPr>
      <w:r>
        <w:t xml:space="preserve">☐ </w:t>
      </w:r>
      <w:r>
        <w:t>Unresolved conflicts/issues have a named owner and due time or are written as exact Thursday DO decisions.</w:t>
      </w:r>
    </w:p>
    <w:p>
      <w:pPr>
        <w:pStyle w:val="CheckItem"/>
      </w:pPr>
      <w:r>
        <w:t xml:space="preserve">☐ </w:t>
      </w:r>
      <w:r>
        <w:t>Checkrides/evaluations, directed DVs, at-risk upgrades, primary lines, protected spares, configuration and support are represented or have a documented reason.</w:t>
      </w:r>
    </w:p>
    <w:p>
      <w:pPr>
        <w:pStyle w:val="Heading1"/>
      </w:pPr>
      <w:r>
        <w:t>PART IV - THURSDAY FULL QC</w:t>
      </w:r>
    </w:p>
    <w:tbl>
      <w:tblPr>
        <w:tblW w:type="auto" w:w="0"/>
        <w:jc w:val="center"/>
        <w:tblLayout w:type="autofit"/>
        <w:tblLook w:firstColumn="1" w:firstRow="1" w:lastColumn="0" w:lastRow="0" w:noHBand="0" w:noVBand="1" w:val="04A0"/>
      </w:tblPr>
      <w:tblGrid>
        <w:gridCol w:w="10512"/>
      </w:tblGrid>
      <w:tr>
        <w:tc>
          <w:tcPr>
            <w:tcW w:type="dxa" w:w="10512"/>
            <w:shd w:fill="D9EAF7"/>
            <w:tcMar>
              <w:top w:w="90" w:type="dxa"/>
              <w:start w:w="110" w:type="dxa"/>
              <w:bottom w:w="90" w:type="dxa"/>
              <w:end w:w="110" w:type="dxa"/>
            </w:tcMar>
          </w:tcPr>
          <w:p>
            <w:pPr>
              <w:spacing w:after="0"/>
            </w:pPr>
            <w:r>
              <w:rPr>
                <w:rFonts w:ascii="Arial" w:hAnsi="Arial"/>
                <w:b/>
                <w:color w:val="1F4E78"/>
                <w:sz w:val="18"/>
              </w:rPr>
              <w:t xml:space="preserve">WHOLE-SCHEDULE REVIEW: </w:t>
            </w:r>
            <w:r>
              <w:rPr>
                <w:rFonts w:ascii="Arial" w:hAnsi="Arial"/>
                <w:sz w:val="18"/>
              </w:rPr>
              <w:t>Complete the scheduler checklist first, then review the exact near-final Buy/Sell candidate from scratch. Do not review only recent changes.</w:t>
            </w:r>
          </w:p>
        </w:tc>
      </w:tr>
    </w:tbl>
    <w:p>
      <w:pPr>
        <w:spacing w:after="0"/>
      </w:pPr>
    </w:p>
    <w:p>
      <w:pPr>
        <w:pStyle w:val="Heading2"/>
      </w:pPr>
      <w:r>
        <w:t>A. Manning / availability / duties</w:t>
      </w:r>
    </w:p>
    <w:p>
      <w:pPr>
        <w:pStyle w:val="CheckItem"/>
      </w:pPr>
      <w:r>
        <w:t xml:space="preserve">☐ </w:t>
      </w:r>
      <w:r>
        <w:t>Leave / TDY / exact-time commitments / meetings deconflicted; conflicts between products are treated conservatively until resolved.</w:t>
      </w:r>
    </w:p>
    <w:p>
      <w:pPr>
        <w:pStyle w:val="CheckItem"/>
      </w:pPr>
      <w:r>
        <w:t xml:space="preserve">☐ </w:t>
      </w:r>
      <w:r>
        <w:t>Top 3, SOF, SDO/daily scheduler, weekly scheduler, VDO, Flight Commander of the Week and other ground duties covered.</w:t>
      </w:r>
    </w:p>
    <w:p>
      <w:pPr>
        <w:pStyle w:val="CheckItem"/>
      </w:pPr>
      <w:r>
        <w:t xml:space="preserve">☐ </w:t>
      </w:r>
      <w:r>
        <w:t>SOF and other duties checked for required crew rest/duty limits using source-backed rules where publication-derived.</w:t>
      </w:r>
    </w:p>
    <w:p>
      <w:pPr>
        <w:pStyle w:val="CheckItem"/>
      </w:pPr>
      <w:r>
        <w:t xml:space="preserve">☐ </w:t>
      </w:r>
      <w:r>
        <w:t>SQ/CC and DO same-go restrictions or local direction checked where applicable.</w:t>
      </w:r>
    </w:p>
    <w:p>
      <w:pPr>
        <w:pStyle w:val="CheckItem"/>
      </w:pPr>
      <w:r>
        <w:t xml:space="preserve">☐ </w:t>
      </w:r>
      <w:r>
        <w:t>Attached-pilot availability confirmed.</w:t>
      </w:r>
    </w:p>
    <w:p>
      <w:pPr>
        <w:pStyle w:val="CheckItem"/>
      </w:pPr>
      <w:r>
        <w:t xml:space="preserve">☐ </w:t>
      </w:r>
      <w:r>
        <w:t>Flight/PT test conflicts reviewed; trains/transport and tight-turn constraints reviewed.</w:t>
      </w:r>
    </w:p>
    <w:p>
      <w:pPr>
        <w:pStyle w:val="Heading2"/>
      </w:pPr>
      <w:r>
        <w:t>B. DV / leader flyers</w:t>
      </w:r>
    </w:p>
    <w:p>
      <w:pPr>
        <w:pStyle w:val="CheckItem"/>
      </w:pPr>
      <w:r>
        <w:t xml:space="preserve">☐ </w:t>
      </w:r>
      <w:r>
        <w:t>Each directed DV flyer reviewed pilot-by-pilot for qualification/source support, timing, required IP/SQ supervisor, mission/line assignment and conflicts.</w:t>
      </w:r>
    </w:p>
    <w:p>
      <w:pPr>
        <w:pStyle w:val="CheckItem"/>
      </w:pPr>
      <w:r>
        <w:t xml:space="preserve">☐ </w:t>
      </w:r>
      <w:r>
        <w:t>No DV requirement inferred from rank/title alone.</w:t>
      </w:r>
    </w:p>
    <w:p>
      <w:pPr>
        <w:pStyle w:val="Heading2"/>
      </w:pPr>
      <w:r>
        <w:t>C. Stan/Eval / currency / qualification</w:t>
      </w:r>
    </w:p>
    <w:p>
      <w:pPr>
        <w:pStyle w:val="CheckItem"/>
      </w:pPr>
      <w:r>
        <w:t xml:space="preserve">☐ </w:t>
      </w:r>
      <w:r>
        <w:t>I/Q and mission checks, certs, EPEs/practice EPEs, tests and applicable Stan/Eval events are scheduled or explicitly dispositioned.</w:t>
      </w:r>
    </w:p>
    <w:p>
      <w:pPr>
        <w:pStyle w:val="CheckItem"/>
      </w:pPr>
      <w:r>
        <w:t xml:space="preserve">☐ </w:t>
      </w:r>
      <w:r>
        <w:t>Grounding, CMR/RAP, mission/event-specific, night/NVG, SEPT and other currency checks use reliable person-specific inputs.</w:t>
      </w:r>
    </w:p>
    <w:p>
      <w:pPr>
        <w:pStyle w:val="CheckItem"/>
      </w:pPr>
      <w:r>
        <w:t xml:space="preserve">☐ </w:t>
      </w:r>
      <w:r>
        <w:t>Any publication-derived interval, qualification, prerequisite, credit or duty rule is traceable to GAMECHANGER P-### evidence; unverified items remain CANNOT VERIFY.</w:t>
      </w:r>
    </w:p>
    <w:p>
      <w:pPr>
        <w:pStyle w:val="CheckItem"/>
      </w:pPr>
      <w:r>
        <w:t xml:space="preserve">☐ </w:t>
      </w:r>
      <w:r>
        <w:t>SOURCE CONFLICT and high-consequence CANNOT VERIFY items are visible to the DO; the checklist never labels the schedule “fully compliant.”</w:t>
      </w:r>
    </w:p>
    <w:p>
      <w:pPr>
        <w:pStyle w:val="Heading2"/>
      </w:pPr>
      <w:r>
        <w:t>D. Upgradee pilot-by-pilot</w:t>
      </w:r>
    </w:p>
    <w:p>
      <w:pPr>
        <w:pStyle w:val="CheckItem"/>
      </w:pPr>
      <w:r>
        <w:t xml:space="preserve">☐ </w:t>
      </w:r>
      <w:r>
        <w:t>MQT, IPUG, FLUG, SOF, TOP3, SEFE, FCF and other active upgrades reviewed against next event, prerequisites, ratios and instructor/evaluator requirements.</w:t>
      </w:r>
    </w:p>
    <w:p>
      <w:pPr>
        <w:pStyle w:val="CheckItem"/>
      </w:pPr>
      <w:r>
        <w:t xml:space="preserve">☐ </w:t>
      </w:r>
      <w:r>
        <w:t>All required opt-ins / prerequisites / interviews / academics represented as applicable.</w:t>
      </w:r>
    </w:p>
    <w:p>
      <w:pPr>
        <w:pStyle w:val="CheckItem"/>
      </w:pPr>
      <w:r>
        <w:t xml:space="preserve">☐ </w:t>
      </w:r>
      <w:r>
        <w:t>Prep-day preference protected; like-sortie repeat looks vs dissimilar progression handled per current guidance.</w:t>
      </w:r>
    </w:p>
    <w:p>
      <w:pPr>
        <w:pStyle w:val="CheckItem"/>
      </w:pPr>
      <w:r>
        <w:t xml:space="preserve">☐ </w:t>
      </w:r>
      <w:r>
        <w:t>Backups and attrition plan exist for fragile upgrade opportunities.</w:t>
      </w:r>
    </w:p>
    <w:p>
      <w:pPr>
        <w:pStyle w:val="CheckItem"/>
      </w:pPr>
      <w:r>
        <w:t xml:space="preserve">☐ </w:t>
      </w:r>
      <w:r>
        <w:t>Struggling or restricted students paired only with authorized/appropriate instructors per DO/Flight Commander guidance.</w:t>
      </w:r>
    </w:p>
    <w:p>
      <w:pPr>
        <w:pStyle w:val="CheckItem"/>
      </w:pPr>
      <w:r>
        <w:t xml:space="preserve">☐ </w:t>
      </w:r>
      <w:r>
        <w:t>30-day completion risk and required pace updated after actual schedule placement.</w:t>
      </w:r>
    </w:p>
    <w:p>
      <w:pPr>
        <w:pStyle w:val="Heading2"/>
      </w:pPr>
      <w:r>
        <w:t>E. Aircraft / configuration / support</w:t>
      </w:r>
    </w:p>
    <w:p>
      <w:pPr>
        <w:pStyle w:val="CheckItem"/>
      </w:pPr>
      <w:r>
        <w:t xml:space="preserve">☐ </w:t>
      </w:r>
      <w:r>
        <w:t>Maintenance turn pattern matches planned sortie generation and protected spares are not silently converted to primaries.</w:t>
      </w:r>
    </w:p>
    <w:p>
      <w:pPr>
        <w:pStyle w:val="CheckItem"/>
      </w:pPr>
      <w:r>
        <w:t xml:space="preserve">☐ </w:t>
      </w:r>
      <w:r>
        <w:t>Mission lines use required configuration; BFM/clean vs A/G/CAS/tank requirements and transition costs are considered.</w:t>
      </w:r>
    </w:p>
    <w:p>
      <w:pPr>
        <w:pStyle w:val="CheckItem"/>
      </w:pPr>
      <w:r>
        <w:t xml:space="preserve">☐ </w:t>
      </w:r>
      <w:r>
        <w:t>If a phase/configuration transition is planned, enough prior-configuration aircraft remain to reflow missed phase-tied events as directed.</w:t>
      </w:r>
    </w:p>
    <w:p>
      <w:pPr>
        <w:pStyle w:val="CheckItem"/>
      </w:pPr>
      <w:r>
        <w:t xml:space="preserve">☐ </w:t>
      </w:r>
      <w:r>
        <w:t>Range/airspace/tanker/adversary/JTAC/TAC C2/external support windows match mission timing.</w:t>
      </w:r>
    </w:p>
    <w:p>
      <w:pPr>
        <w:pStyle w:val="CheckItem"/>
      </w:pPr>
      <w:r>
        <w:t xml:space="preserve">☐ </w:t>
      </w:r>
      <w:r>
        <w:t>Weapons/live-inert-gun requirements and range status support planned missions.</w:t>
      </w:r>
    </w:p>
    <w:p>
      <w:pPr>
        <w:pStyle w:val="CheckItem"/>
      </w:pPr>
      <w:r>
        <w:t xml:space="preserve">☐ </w:t>
      </w:r>
      <w:r>
        <w:t>Sim capacity/status and support are compatible with scheduled events.</w:t>
      </w:r>
    </w:p>
    <w:p>
      <w:pPr>
        <w:pStyle w:val="Heading2"/>
      </w:pPr>
      <w:r>
        <w:t>F. Mission timing / weather / workload</w:t>
      </w:r>
    </w:p>
    <w:p>
      <w:pPr>
        <w:pStyle w:val="CheckItem"/>
      </w:pPr>
      <w:r>
        <w:t xml:space="preserve">☐ </w:t>
      </w:r>
      <w:r>
        <w:t>Brief/debrief windows and exact commitments are compatible with each pilot’s assigned events.</w:t>
      </w:r>
    </w:p>
    <w:p>
      <w:pPr>
        <w:pStyle w:val="CheckItem"/>
      </w:pPr>
      <w:r>
        <w:t xml:space="preserve">☐ </w:t>
      </w:r>
      <w:r>
        <w:t>Crew-rest/duty boundary checks include prior/next duty when relevant and use source-backed publication evidence.</w:t>
      </w:r>
    </w:p>
    <w:p>
      <w:pPr>
        <w:pStyle w:val="CheckItem"/>
      </w:pPr>
      <w:r>
        <w:t xml:space="preserve">☐ </w:t>
      </w:r>
      <w:r>
        <w:t>Weather-sensitive missions/upgrades placed with ceiling/visibility/thunderstorm/precipitation/icing and forecast-confidence risk in mind.</w:t>
      </w:r>
    </w:p>
    <w:p>
      <w:pPr>
        <w:pStyle w:val="CheckItem"/>
      </w:pPr>
      <w:r>
        <w:t xml:space="preserve">☐ </w:t>
      </w:r>
      <w:r>
        <w:t>Instructor workload reviewed across flights, sims, academics, complex briefs/debriefs and consecutive high-workload days.</w:t>
      </w:r>
    </w:p>
    <w:p>
      <w:pPr>
        <w:pStyle w:val="CheckItem"/>
      </w:pPr>
      <w:r>
        <w:t xml:space="preserve">☐ </w:t>
      </w:r>
      <w:r>
        <w:t>No unnecessary sim-to-flight, flight-to-flight or dissimilar high-workload stacking without human approval.</w:t>
      </w:r>
    </w:p>
    <w:p>
      <w:pPr>
        <w:pStyle w:val="Heading2"/>
      </w:pPr>
      <w:r>
        <w:t>G. Opportunity / downside review</w:t>
      </w:r>
    </w:p>
    <w:p>
      <w:pPr>
        <w:pStyle w:val="CheckItem"/>
      </w:pPr>
      <w:r>
        <w:t xml:space="preserve">☐ </w:t>
      </w:r>
      <w:r>
        <w:t>Unused feasible upgrade/checkride/currency opportunities identified without sacrificing protected spares or higher priorities.</w:t>
      </w:r>
    </w:p>
    <w:p>
      <w:pPr>
        <w:pStyle w:val="CheckItem"/>
      </w:pPr>
      <w:r>
        <w:t xml:space="preserve">☐ </w:t>
      </w:r>
      <w:r>
        <w:t>At least one moderate downside case considered: loss of a planned upgrade event, weather-sensitive day, key instructor, aircraft/configuration capacity, or external support.</w:t>
      </w:r>
    </w:p>
    <w:p>
      <w:pPr>
        <w:pStyle w:val="CheckItem"/>
      </w:pPr>
      <w:r>
        <w:t xml:space="preserve">☐ </w:t>
      </w:r>
      <w:r>
        <w:t>Minimum-change recovery option identified for the most likely disruption.</w:t>
      </w:r>
    </w:p>
    <w:p>
      <w:pPr>
        <w:pStyle w:val="Heading1"/>
      </w:pPr>
      <w:r>
        <w:t>PART V - BUY/SELL READINESS</w:t>
      </w:r>
    </w:p>
    <w:p>
      <w:pPr>
        <w:pStyle w:val="CheckItem"/>
      </w:pPr>
      <w:r>
        <w:t xml:space="preserve">☐ </w:t>
      </w:r>
      <w:r>
        <w:t>Exact schedule version selected for presentation; no ambiguous “latest” file remains.</w:t>
      </w:r>
    </w:p>
    <w:p>
      <w:pPr>
        <w:pStyle w:val="CheckItem"/>
      </w:pPr>
      <w:r>
        <w:t xml:space="preserve">☐ </w:t>
      </w:r>
      <w:r>
        <w:t>Bottom-line advisory readiness recorded as BUY READY, READY WITH DO DECISIONS, or NOT READY. This is advisory only.</w:t>
      </w:r>
    </w:p>
    <w:p>
      <w:pPr>
        <w:pStyle w:val="CheckItem"/>
      </w:pPr>
      <w:r>
        <w:t xml:space="preserve">☐ </w:t>
      </w:r>
      <w:r>
        <w:t>Material source limitations and high-consequence CANNOT VERIFY items listed plainly.</w:t>
      </w:r>
    </w:p>
    <w:p>
      <w:pPr>
        <w:pStyle w:val="CheckItem"/>
      </w:pPr>
      <w:r>
        <w:t xml:space="preserve">☐ </w:t>
      </w:r>
      <w:r>
        <w:t>Hard conflicts and approval/waiver needs listed with owner/authority and deadline.</w:t>
      </w:r>
    </w:p>
    <w:p>
      <w:pPr>
        <w:pStyle w:val="CheckItem"/>
      </w:pPr>
      <w:r>
        <w:t xml:space="preserve">☐ </w:t>
      </w:r>
      <w:r>
        <w:t>Exact corrections ranked with full downstream effects; unresolved recommendations are separated from required corrections.</w:t>
      </w:r>
    </w:p>
    <w:p>
      <w:pPr>
        <w:pStyle w:val="CheckItem"/>
      </w:pPr>
      <w:r>
        <w:t xml:space="preserve">☐ </w:t>
      </w:r>
      <w:r>
        <w:t>Checkrides/evaluations, directed DVs, upgrades, required pace, 30-day risk, primary-line use, protected spares, configuration and resource/IP bottlenecks summarized.</w:t>
      </w:r>
    </w:p>
    <w:p>
      <w:pPr>
        <w:pStyle w:val="CheckItem"/>
      </w:pPr>
      <w:r>
        <w:t xml:space="preserve">☐ </w:t>
      </w:r>
      <w:r>
        <w:t>P-ledger exceptions (SOURCE-BACKED ISSUE, SOURCE CONFLICT, CANNOT VERIFY) included by P-### reference.</w:t>
      </w:r>
    </w:p>
    <w:p>
      <w:pPr>
        <w:pStyle w:val="CheckItem"/>
      </w:pPr>
      <w:r>
        <w:t xml:space="preserve">☐ </w:t>
      </w:r>
      <w:r>
        <w:t>DO decisions are numbered and state affected people/resources/training, recommendation, authority/coordination and deadline.</w:t>
      </w:r>
    </w:p>
    <w:p>
      <w:pPr>
        <w:pStyle w:val="CheckItem"/>
      </w:pPr>
      <w:r>
        <w:t xml:space="preserve">☐ </w:t>
      </w:r>
      <w:r>
        <w:t>Optional DO adversarial review, if requested, is resolved/dispositioned before the formal decision package is presented.</w:t>
      </w:r>
    </w:p>
    <w:p>
      <w:pPr>
        <w:pStyle w:val="Heading1"/>
      </w:pPr>
      <w:r>
        <w:t>PART VI - THURSDAY FORMAL SCHEDULE BUY/SELL</w:t>
      </w:r>
    </w:p>
    <w:tbl>
      <w:tblPr>
        <w:tblW w:type="auto" w:w="0"/>
        <w:jc w:val="center"/>
        <w:tblLayout w:type="autofit"/>
        <w:tblLook w:firstColumn="1" w:firstRow="1" w:lastColumn="0" w:lastRow="0" w:noHBand="0" w:noVBand="1" w:val="04A0"/>
      </w:tblPr>
      <w:tblGrid>
        <w:gridCol w:w="10512"/>
      </w:tblGrid>
      <w:tr>
        <w:tc>
          <w:tcPr>
            <w:tcW w:type="dxa" w:w="10512"/>
            <w:shd w:fill="FFF2CC"/>
            <w:tcMar>
              <w:top w:w="90" w:type="dxa"/>
              <w:start w:w="110" w:type="dxa"/>
              <w:bottom w:w="90" w:type="dxa"/>
              <w:end w:w="110" w:type="dxa"/>
            </w:tcMar>
          </w:tcPr>
          <w:p>
            <w:pPr>
              <w:spacing w:after="0"/>
            </w:pPr>
            <w:r>
              <w:rPr>
                <w:rFonts w:ascii="Arial" w:hAnsi="Arial"/>
                <w:b/>
                <w:color w:val="1F4E78"/>
                <w:sz w:val="18"/>
              </w:rPr>
              <w:t xml:space="preserve">APPROVAL RULE: </w:t>
            </w:r>
            <w:r>
              <w:rPr>
                <w:rFonts w:ascii="Arial" w:hAnsi="Arial"/>
                <w:sz w:val="18"/>
              </w:rPr>
              <w:t>The schedule is bought only when the DO explicitly approves the presented version. The meeting occurring, the calendar day, or silence does not create approval.</w:t>
            </w:r>
          </w:p>
        </w:tc>
      </w:tr>
    </w:tbl>
    <w:p>
      <w:pPr>
        <w:spacing w:after="0"/>
      </w:pP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3168"/>
            <w:shd w:fill="5B9BD5"/>
            <w:tcMar>
              <w:top w:w="55" w:type="dxa"/>
              <w:start w:w="65" w:type="dxa"/>
              <w:bottom w:w="55" w:type="dxa"/>
              <w:end w:w="65" w:type="dxa"/>
            </w:tcMar>
            <w:vAlign w:val="center"/>
          </w:tcPr>
          <w:p>
            <w:pPr>
              <w:spacing w:after="0"/>
              <w:jc w:val="center"/>
            </w:pPr>
            <w:r>
              <w:rPr>
                <w:rFonts w:ascii="Arial" w:hAnsi="Arial"/>
                <w:b/>
                <w:color w:val="FFFFFF"/>
                <w:sz w:val="16"/>
              </w:rPr>
              <w:t>Decision record item</w:t>
            </w:r>
          </w:p>
        </w:tc>
        <w:tc>
          <w:tcPr>
            <w:tcW w:type="dxa" w:w="7560"/>
            <w:shd w:fill="5B9BD5"/>
            <w:tcMar>
              <w:top w:w="55" w:type="dxa"/>
              <w:start w:w="65" w:type="dxa"/>
              <w:bottom w:w="55" w:type="dxa"/>
              <w:end w:w="65" w:type="dxa"/>
            </w:tcMar>
            <w:vAlign w:val="center"/>
          </w:tcPr>
          <w:p>
            <w:pPr>
              <w:spacing w:after="0"/>
              <w:jc w:val="center"/>
            </w:pPr>
            <w:r>
              <w:rPr>
                <w:rFonts w:ascii="Arial" w:hAnsi="Arial"/>
                <w:b/>
                <w:color w:val="FFFFFF"/>
                <w:sz w:val="16"/>
              </w:rPr>
              <w:t>Record</w:t>
            </w:r>
          </w:p>
        </w:tc>
      </w:tr>
      <w:tr>
        <w:trPr>
          <w:cantSplit/>
        </w:trPr>
        <w:tc>
          <w:tcPr>
            <w:tcW w:type="dxa" w:w="3168"/>
            <w:tcMar>
              <w:top w:w="55" w:type="dxa"/>
              <w:start w:w="65" w:type="dxa"/>
              <w:bottom w:w="55" w:type="dxa"/>
              <w:end w:w="65" w:type="dxa"/>
            </w:tcMar>
            <w:vAlign w:val="top"/>
          </w:tcPr>
          <w:p>
            <w:pPr>
              <w:spacing w:after="0"/>
            </w:pPr>
            <w:r>
              <w:rPr>
                <w:rFonts w:ascii="Arial" w:hAnsi="Arial"/>
                <w:sz w:val="16"/>
              </w:rPr>
              <w:t>Exact presented schedule/version</w:t>
            </w:r>
          </w:p>
        </w:tc>
        <w:tc>
          <w:tcPr>
            <w:tcW w:type="dxa" w:w="7560"/>
            <w:tcMar>
              <w:top w:w="55" w:type="dxa"/>
              <w:start w:w="65" w:type="dxa"/>
              <w:bottom w:w="55" w:type="dxa"/>
              <w:end w:w="65" w:type="dxa"/>
            </w:tcMar>
            <w:vAlign w:val="top"/>
          </w:tcPr>
          <w:p>
            <w:pPr>
              <w:spacing w:after="0"/>
            </w:pPr>
            <w:r>
              <w:rPr>
                <w:rFonts w:ascii="Arial" w:hAnsi="Arial"/>
                <w:sz w:val="16"/>
              </w:rPr>
              <w:t>____________________________________________________________</w:t>
            </w:r>
          </w:p>
        </w:tc>
      </w:tr>
      <w:tr>
        <w:trPr>
          <w:cantSplit/>
        </w:trPr>
        <w:tc>
          <w:tcPr>
            <w:tcW w:type="dxa" w:w="3168"/>
            <w:tcMar>
              <w:top w:w="55" w:type="dxa"/>
              <w:start w:w="65" w:type="dxa"/>
              <w:bottom w:w="55" w:type="dxa"/>
              <w:end w:w="65" w:type="dxa"/>
            </w:tcMar>
            <w:vAlign w:val="top"/>
          </w:tcPr>
          <w:p>
            <w:pPr>
              <w:spacing w:after="0"/>
            </w:pPr>
            <w:r>
              <w:rPr>
                <w:rFonts w:ascii="Arial" w:hAnsi="Arial"/>
                <w:sz w:val="16"/>
              </w:rPr>
              <w:t>DO decision</w:t>
            </w:r>
          </w:p>
        </w:tc>
        <w:tc>
          <w:tcPr>
            <w:tcW w:type="dxa" w:w="7560"/>
            <w:tcMar>
              <w:top w:w="55" w:type="dxa"/>
              <w:start w:w="65" w:type="dxa"/>
              <w:bottom w:w="55" w:type="dxa"/>
              <w:end w:w="65" w:type="dxa"/>
            </w:tcMar>
            <w:vAlign w:val="top"/>
          </w:tcPr>
          <w:p>
            <w:pPr>
              <w:spacing w:after="0"/>
            </w:pPr>
            <w:r>
              <w:rPr>
                <w:rFonts w:ascii="Arial" w:hAnsi="Arial"/>
                <w:sz w:val="16"/>
              </w:rPr>
              <w:t>BOUGHT / NOT BOUGHT / RETURN FOR CORRECTION</w:t>
            </w:r>
          </w:p>
        </w:tc>
      </w:tr>
      <w:tr>
        <w:trPr>
          <w:cantSplit/>
        </w:trPr>
        <w:tc>
          <w:tcPr>
            <w:tcW w:type="dxa" w:w="3168"/>
            <w:tcMar>
              <w:top w:w="55" w:type="dxa"/>
              <w:start w:w="65" w:type="dxa"/>
              <w:bottom w:w="55" w:type="dxa"/>
              <w:end w:w="65" w:type="dxa"/>
            </w:tcMar>
            <w:vAlign w:val="top"/>
          </w:tcPr>
          <w:p>
            <w:pPr>
              <w:spacing w:after="0"/>
            </w:pPr>
            <w:r>
              <w:rPr>
                <w:rFonts w:ascii="Arial" w:hAnsi="Arial"/>
                <w:sz w:val="16"/>
              </w:rPr>
              <w:t>Exact DO statement</w:t>
            </w:r>
          </w:p>
        </w:tc>
        <w:tc>
          <w:tcPr>
            <w:tcW w:type="dxa" w:w="7560"/>
            <w:tcMar>
              <w:top w:w="55" w:type="dxa"/>
              <w:start w:w="65" w:type="dxa"/>
              <w:bottom w:w="55" w:type="dxa"/>
              <w:end w:w="65" w:type="dxa"/>
            </w:tcMar>
            <w:vAlign w:val="top"/>
          </w:tcPr>
          <w:p>
            <w:pPr>
              <w:spacing w:after="0"/>
            </w:pPr>
            <w:r>
              <w:rPr>
                <w:rFonts w:ascii="Arial" w:hAnsi="Arial"/>
                <w:sz w:val="16"/>
              </w:rPr>
              <w:t>____________________________________________________________</w:t>
              <w:br/>
              <w:t>____________________________________________________________</w:t>
            </w:r>
          </w:p>
        </w:tc>
      </w:tr>
      <w:tr>
        <w:trPr>
          <w:cantSplit/>
        </w:trPr>
        <w:tc>
          <w:tcPr>
            <w:tcW w:type="dxa" w:w="3168"/>
            <w:tcMar>
              <w:top w:w="55" w:type="dxa"/>
              <w:start w:w="65" w:type="dxa"/>
              <w:bottom w:w="55" w:type="dxa"/>
              <w:end w:w="65" w:type="dxa"/>
            </w:tcMar>
            <w:vAlign w:val="top"/>
          </w:tcPr>
          <w:p>
            <w:pPr>
              <w:spacing w:after="0"/>
            </w:pPr>
            <w:r>
              <w:rPr>
                <w:rFonts w:ascii="Arial" w:hAnsi="Arial"/>
                <w:sz w:val="16"/>
              </w:rPr>
              <w:t>D-### direction(s)</w:t>
            </w:r>
          </w:p>
        </w:tc>
        <w:tc>
          <w:tcPr>
            <w:tcW w:type="dxa" w:w="7560"/>
            <w:tcMar>
              <w:top w:w="55" w:type="dxa"/>
              <w:start w:w="65" w:type="dxa"/>
              <w:bottom w:w="55" w:type="dxa"/>
              <w:end w:w="65" w:type="dxa"/>
            </w:tcMar>
            <w:vAlign w:val="top"/>
          </w:tcPr>
          <w:p>
            <w:pPr>
              <w:spacing w:after="0"/>
            </w:pPr>
            <w:r>
              <w:rPr>
                <w:rFonts w:ascii="Arial" w:hAnsi="Arial"/>
                <w:sz w:val="16"/>
              </w:rPr>
              <w:t>____________________________________________________________</w:t>
              <w:br/>
              <w:t>____________________________________________________________</w:t>
            </w:r>
          </w:p>
        </w:tc>
      </w:tr>
      <w:tr>
        <w:trPr>
          <w:cantSplit/>
        </w:trPr>
        <w:tc>
          <w:tcPr>
            <w:tcW w:type="dxa" w:w="3168"/>
            <w:tcMar>
              <w:top w:w="55" w:type="dxa"/>
              <w:start w:w="65" w:type="dxa"/>
              <w:bottom w:w="55" w:type="dxa"/>
              <w:end w:w="65" w:type="dxa"/>
            </w:tcMar>
            <w:vAlign w:val="top"/>
          </w:tcPr>
          <w:p>
            <w:pPr>
              <w:spacing w:after="0"/>
            </w:pPr>
            <w:r>
              <w:rPr>
                <w:rFonts w:ascii="Arial" w:hAnsi="Arial"/>
                <w:sz w:val="16"/>
              </w:rPr>
              <w:t>Waiver routing, if any</w:t>
            </w:r>
          </w:p>
        </w:tc>
        <w:tc>
          <w:tcPr>
            <w:tcW w:type="dxa" w:w="7560"/>
            <w:tcMar>
              <w:top w:w="55" w:type="dxa"/>
              <w:start w:w="65" w:type="dxa"/>
              <w:bottom w:w="55" w:type="dxa"/>
              <w:end w:w="65" w:type="dxa"/>
            </w:tcMar>
            <w:vAlign w:val="top"/>
          </w:tcPr>
          <w:p>
            <w:pPr>
              <w:spacing w:after="0"/>
            </w:pPr>
            <w:r>
              <w:rPr>
                <w:rFonts w:ascii="Arial" w:hAnsi="Arial"/>
                <w:sz w:val="16"/>
              </w:rPr>
              <w:t>____________________________________________________________</w:t>
            </w:r>
          </w:p>
        </w:tc>
      </w:tr>
      <w:tr>
        <w:trPr>
          <w:cantSplit/>
        </w:trPr>
        <w:tc>
          <w:tcPr>
            <w:tcW w:type="dxa" w:w="3168"/>
            <w:tcMar>
              <w:top w:w="55" w:type="dxa"/>
              <w:start w:w="65" w:type="dxa"/>
              <w:bottom w:w="55" w:type="dxa"/>
              <w:end w:w="65" w:type="dxa"/>
            </w:tcMar>
            <w:vAlign w:val="top"/>
          </w:tcPr>
          <w:p>
            <w:pPr>
              <w:spacing w:after="0"/>
            </w:pPr>
            <w:r>
              <w:rPr>
                <w:rFonts w:ascii="Arial" w:hAnsi="Arial"/>
                <w:sz w:val="16"/>
              </w:rPr>
              <w:t>Supplemental decision required?</w:t>
            </w:r>
          </w:p>
        </w:tc>
        <w:tc>
          <w:tcPr>
            <w:tcW w:type="dxa" w:w="7560"/>
            <w:tcMar>
              <w:top w:w="55" w:type="dxa"/>
              <w:start w:w="65" w:type="dxa"/>
              <w:bottom w:w="55" w:type="dxa"/>
              <w:end w:w="65" w:type="dxa"/>
            </w:tcMar>
            <w:vAlign w:val="top"/>
          </w:tcPr>
          <w:p>
            <w:pPr>
              <w:spacing w:after="0"/>
            </w:pPr>
            <w:r>
              <w:rPr>
                <w:rFonts w:ascii="Arial" w:hAnsi="Arial"/>
                <w:sz w:val="16"/>
              </w:rPr>
              <w:t>NO / YES - scope: ___________________________________________</w:t>
            </w:r>
          </w:p>
        </w:tc>
      </w:tr>
    </w:tbl>
    <w:p>
      <w:pPr>
        <w:spacing w:after="0"/>
      </w:pPr>
    </w:p>
    <w:p>
      <w:r>
        <w:t>If bought, the exact presented version plus every explicit DO direction becomes the Buy/Sell baseline. There is no routine second DO buy for faithful implementation. A materially different solution outside recorded direction requires a scoped supplemental DO decision before publication.</w:t>
      </w:r>
    </w:p>
    <w:p>
      <w:pPr>
        <w:pStyle w:val="Heading1"/>
      </w:pPr>
      <w:r>
        <w:t>PART VII - POST-BUY/SELL IMPLEMENTATION, FINAL QC &amp; PUBLICATION</w:t>
      </w:r>
    </w:p>
    <w:p>
      <w:pPr>
        <w:pStyle w:val="CheckItem"/>
      </w:pPr>
      <w:r>
        <w:t xml:space="preserve">☐ </w:t>
      </w:r>
      <w:r>
        <w:t>Every D-### has a disposition: Open / Implemented-QC Passed / Verified / Human-confirm / Blocked / Superseded.</w:t>
      </w:r>
    </w:p>
    <w:p>
      <w:pPr>
        <w:pStyle w:val="CheckItem"/>
      </w:pPr>
      <w:r>
        <w:t xml:space="preserve">☐ </w:t>
      </w:r>
      <w:r>
        <w:t>Corrected schedule faithfully implements recorded DO direction; implementation mistakes and incomplete second-/third-order cascades are corrected.</w:t>
      </w:r>
    </w:p>
    <w:p>
      <w:pPr>
        <w:pStyle w:val="CheckItem"/>
      </w:pPr>
      <w:r>
        <w:t xml:space="preserve">☐ </w:t>
      </w:r>
      <w:r>
        <w:t>New proposals remain separate from directed corrections.</w:t>
      </w:r>
    </w:p>
    <w:p>
      <w:pPr>
        <w:pStyle w:val="CheckItem"/>
      </w:pPr>
      <w:r>
        <w:t xml:space="preserve">☐ </w:t>
      </w:r>
      <w:r>
        <w:t>Affected publication-relevant changes receive GAMECHANGER delta review; unaffected P-ledger entries are not churned unnecessarily.</w:t>
      </w:r>
    </w:p>
    <w:p>
      <w:pPr>
        <w:pStyle w:val="CheckItem"/>
      </w:pPr>
      <w:r>
        <w:t xml:space="preserve">☐ </w:t>
      </w:r>
      <w:r>
        <w:t>Any infeasible direction or materially different solution receives a supplemental DO decision before publication.</w:t>
      </w:r>
    </w:p>
    <w:p>
      <w:pPr>
        <w:pStyle w:val="CheckItem"/>
      </w:pPr>
      <w:r>
        <w:t xml:space="preserve">☐ </w:t>
      </w:r>
      <w:r>
        <w:t>Every waiver includes both DO routing and applicable waiver authority.</w:t>
      </w:r>
    </w:p>
    <w:p>
      <w:pPr>
        <w:pStyle w:val="CheckItem"/>
      </w:pPr>
      <w:r>
        <w:t xml:space="preserve">☐ </w:t>
      </w:r>
      <w:r>
        <w:t>Weekly Publication Rule Ledger refreshed against actual scheduled people, roles, events, timing and prerequisites where affected.</w:t>
      </w:r>
    </w:p>
    <w:p>
      <w:pPr>
        <w:pStyle w:val="CheckItem"/>
      </w:pPr>
      <w:r>
        <w:t xml:space="preserve">☐ </w:t>
      </w:r>
      <w:r>
        <w:t>Publication candidate reconciled to the Buy/Sell baseline and any supplemental decisions.</w:t>
      </w:r>
    </w:p>
    <w:p>
      <w:pPr>
        <w:pStyle w:val="CheckItem"/>
      </w:pPr>
      <w:r>
        <w:t xml:space="preserve">☐ </w:t>
      </w:r>
      <w:r>
        <w:t>Friday publication: Human verifies and distributes the weekly schedule. AI does not imply it published, coordinated, approved or waived anything.</w:t>
      </w:r>
    </w:p>
    <w:tbl>
      <w:tblPr>
        <w:tblStyle w:val="TableGrid"/>
        <w:tblW w:type="auto" w:w="0"/>
        <w:jc w:val="center"/>
        <w:tblLayout w:type="fixed"/>
        <w:tblLook w:firstColumn="1" w:firstRow="1" w:lastColumn="0" w:lastRow="0" w:noHBand="0" w:noVBand="1" w:val="04A0"/>
      </w:tblPr>
      <w:tblGrid>
        <w:gridCol w:w="5256"/>
        <w:gridCol w:w="5256"/>
      </w:tblGrid>
      <w:tr>
        <w:trPr>
          <w:tblHeader w:val="true"/>
          <w:cantSplit/>
        </w:trPr>
        <w:tc>
          <w:tcPr>
            <w:tcW w:type="dxa" w:w="4032"/>
            <w:shd w:fill="5B9BD5"/>
            <w:tcMar>
              <w:top w:w="55" w:type="dxa"/>
              <w:start w:w="65" w:type="dxa"/>
              <w:bottom w:w="55" w:type="dxa"/>
              <w:end w:w="65" w:type="dxa"/>
            </w:tcMar>
            <w:vAlign w:val="center"/>
          </w:tcPr>
          <w:p>
            <w:pPr>
              <w:spacing w:after="0"/>
              <w:jc w:val="center"/>
            </w:pPr>
            <w:r>
              <w:rPr>
                <w:rFonts w:ascii="Arial" w:hAnsi="Arial"/>
                <w:b/>
                <w:color w:val="FFFFFF"/>
                <w:sz w:val="16"/>
              </w:rPr>
              <w:t>FINAL RECORD</w:t>
            </w:r>
          </w:p>
        </w:tc>
        <w:tc>
          <w:tcPr>
            <w:tcW w:type="dxa" w:w="6696"/>
            <w:shd w:fill="5B9BD5"/>
            <w:tcMar>
              <w:top w:w="55" w:type="dxa"/>
              <w:start w:w="65" w:type="dxa"/>
              <w:bottom w:w="55" w:type="dxa"/>
              <w:end w:w="65" w:type="dxa"/>
            </w:tcMar>
            <w:vAlign w:val="center"/>
          </w:tcPr>
          <w:p>
            <w:pPr>
              <w:spacing w:after="0"/>
              <w:jc w:val="center"/>
            </w:pPr>
            <w:r>
              <w:rPr>
                <w:rFonts w:ascii="Arial" w:hAnsi="Arial"/>
                <w:b/>
                <w:color w:val="FFFFFF"/>
                <w:sz w:val="16"/>
              </w:rPr>
              <w:t>VALUE / LOCATION</w:t>
            </w:r>
          </w:p>
        </w:tc>
      </w:tr>
      <w:tr>
        <w:trPr>
          <w:cantSplit/>
        </w:trPr>
        <w:tc>
          <w:tcPr>
            <w:tcW w:type="dxa" w:w="4032"/>
            <w:tcMar>
              <w:top w:w="55" w:type="dxa"/>
              <w:start w:w="65" w:type="dxa"/>
              <w:bottom w:w="55" w:type="dxa"/>
              <w:end w:w="65" w:type="dxa"/>
            </w:tcMar>
            <w:vAlign w:val="top"/>
          </w:tcPr>
          <w:p>
            <w:pPr>
              <w:spacing w:after="0"/>
            </w:pPr>
            <w:r>
              <w:rPr>
                <w:rFonts w:ascii="Arial" w:hAnsi="Arial"/>
                <w:sz w:val="16"/>
              </w:rPr>
              <w:t>Corrected publication candidate version</w:t>
            </w:r>
          </w:p>
        </w:tc>
        <w:tc>
          <w:tcPr>
            <w:tcW w:type="dxa" w:w="6696"/>
            <w:tcMar>
              <w:top w:w="55" w:type="dxa"/>
              <w:start w:w="65" w:type="dxa"/>
              <w:bottom w:w="55" w:type="dxa"/>
              <w:end w:w="65" w:type="dxa"/>
            </w:tcMar>
            <w:vAlign w:val="top"/>
          </w:tcPr>
          <w:p>
            <w:pPr>
              <w:spacing w:after="0"/>
            </w:pPr>
            <w:r>
              <w:rPr>
                <w:rFonts w:ascii="Arial" w:hAnsi="Arial"/>
                <w:sz w:val="16"/>
              </w:rPr>
              <w:t>_______________________________________________</w:t>
            </w:r>
          </w:p>
        </w:tc>
      </w:tr>
      <w:tr>
        <w:trPr>
          <w:cantSplit/>
        </w:trPr>
        <w:tc>
          <w:tcPr>
            <w:tcW w:type="dxa" w:w="4032"/>
            <w:tcMar>
              <w:top w:w="55" w:type="dxa"/>
              <w:start w:w="65" w:type="dxa"/>
              <w:bottom w:w="55" w:type="dxa"/>
              <w:end w:w="65" w:type="dxa"/>
            </w:tcMar>
            <w:vAlign w:val="top"/>
          </w:tcPr>
          <w:p>
            <w:pPr>
              <w:spacing w:after="0"/>
            </w:pPr>
            <w:r>
              <w:rPr>
                <w:rFonts w:ascii="Arial" w:hAnsi="Arial"/>
                <w:sz w:val="16"/>
              </w:rPr>
              <w:t>Supplemental DO decision(s), if any</w:t>
            </w:r>
          </w:p>
        </w:tc>
        <w:tc>
          <w:tcPr>
            <w:tcW w:type="dxa" w:w="6696"/>
            <w:tcMar>
              <w:top w:w="55" w:type="dxa"/>
              <w:start w:w="65" w:type="dxa"/>
              <w:bottom w:w="55" w:type="dxa"/>
              <w:end w:w="65" w:type="dxa"/>
            </w:tcMar>
            <w:vAlign w:val="top"/>
          </w:tcPr>
          <w:p>
            <w:pPr>
              <w:spacing w:after="0"/>
            </w:pPr>
            <w:r>
              <w:rPr>
                <w:rFonts w:ascii="Arial" w:hAnsi="Arial"/>
                <w:sz w:val="16"/>
              </w:rPr>
              <w:t>_______________________________________________</w:t>
            </w:r>
          </w:p>
        </w:tc>
      </w:tr>
      <w:tr>
        <w:trPr>
          <w:cantSplit/>
        </w:trPr>
        <w:tc>
          <w:tcPr>
            <w:tcW w:type="dxa" w:w="4032"/>
            <w:tcMar>
              <w:top w:w="55" w:type="dxa"/>
              <w:start w:w="65" w:type="dxa"/>
              <w:bottom w:w="55" w:type="dxa"/>
              <w:end w:w="65" w:type="dxa"/>
            </w:tcMar>
            <w:vAlign w:val="top"/>
          </w:tcPr>
          <w:p>
            <w:pPr>
              <w:spacing w:after="0"/>
            </w:pPr>
            <w:r>
              <w:rPr>
                <w:rFonts w:ascii="Arial" w:hAnsi="Arial"/>
                <w:sz w:val="16"/>
              </w:rPr>
              <w:t>Published weekly schedule</w:t>
            </w:r>
          </w:p>
        </w:tc>
        <w:tc>
          <w:tcPr>
            <w:tcW w:type="dxa" w:w="6696"/>
            <w:tcMar>
              <w:top w:w="55" w:type="dxa"/>
              <w:start w:w="65" w:type="dxa"/>
              <w:bottom w:w="55" w:type="dxa"/>
              <w:end w:w="65" w:type="dxa"/>
            </w:tcMar>
            <w:vAlign w:val="top"/>
          </w:tcPr>
          <w:p>
            <w:pPr>
              <w:spacing w:after="0"/>
            </w:pPr>
            <w:r>
              <w:rPr>
                <w:rFonts w:ascii="Arial" w:hAnsi="Arial"/>
                <w:sz w:val="16"/>
              </w:rPr>
              <w:t>_______________________________________________</w:t>
            </w:r>
          </w:p>
        </w:tc>
      </w:tr>
      <w:tr>
        <w:trPr>
          <w:cantSplit/>
        </w:trPr>
        <w:tc>
          <w:tcPr>
            <w:tcW w:type="dxa" w:w="4032"/>
            <w:tcMar>
              <w:top w:w="55" w:type="dxa"/>
              <w:start w:w="65" w:type="dxa"/>
              <w:bottom w:w="55" w:type="dxa"/>
              <w:end w:w="65" w:type="dxa"/>
            </w:tcMar>
            <w:vAlign w:val="top"/>
          </w:tcPr>
          <w:p>
            <w:pPr>
              <w:spacing w:after="0"/>
            </w:pPr>
            <w:r>
              <w:rPr>
                <w:rFonts w:ascii="Arial" w:hAnsi="Arial"/>
                <w:sz w:val="16"/>
              </w:rPr>
              <w:t>Publication date/time and distributor</w:t>
            </w:r>
          </w:p>
        </w:tc>
        <w:tc>
          <w:tcPr>
            <w:tcW w:type="dxa" w:w="6696"/>
            <w:tcMar>
              <w:top w:w="55" w:type="dxa"/>
              <w:start w:w="65" w:type="dxa"/>
              <w:bottom w:w="55" w:type="dxa"/>
              <w:end w:w="65" w:type="dxa"/>
            </w:tcMar>
            <w:vAlign w:val="top"/>
          </w:tcPr>
          <w:p>
            <w:pPr>
              <w:spacing w:after="0"/>
            </w:pPr>
            <w:r>
              <w:rPr>
                <w:rFonts w:ascii="Arial" w:hAnsi="Arial"/>
                <w:sz w:val="16"/>
              </w:rPr>
              <w:t>_______________________________________________</w:t>
            </w:r>
          </w:p>
        </w:tc>
      </w:tr>
      <w:tr>
        <w:trPr>
          <w:cantSplit/>
        </w:trPr>
        <w:tc>
          <w:tcPr>
            <w:tcW w:type="dxa" w:w="4032"/>
            <w:tcMar>
              <w:top w:w="55" w:type="dxa"/>
              <w:start w:w="65" w:type="dxa"/>
              <w:bottom w:w="55" w:type="dxa"/>
              <w:end w:w="65" w:type="dxa"/>
            </w:tcMar>
            <w:vAlign w:val="top"/>
          </w:tcPr>
          <w:p>
            <w:pPr>
              <w:spacing w:after="0"/>
            </w:pPr>
            <w:r>
              <w:rPr>
                <w:rFonts w:ascii="Arial" w:hAnsi="Arial"/>
                <w:sz w:val="16"/>
              </w:rPr>
              <w:t>Final P-ledger / unresolved limits location</w:t>
            </w:r>
          </w:p>
        </w:tc>
        <w:tc>
          <w:tcPr>
            <w:tcW w:type="dxa" w:w="6696"/>
            <w:tcMar>
              <w:top w:w="55" w:type="dxa"/>
              <w:start w:w="65" w:type="dxa"/>
              <w:bottom w:w="55" w:type="dxa"/>
              <w:end w:w="65" w:type="dxa"/>
            </w:tcMar>
            <w:vAlign w:val="top"/>
          </w:tcPr>
          <w:p>
            <w:pPr>
              <w:spacing w:after="0"/>
            </w:pPr>
            <w:r>
              <w:rPr>
                <w:rFonts w:ascii="Arial" w:hAnsi="Arial"/>
                <w:sz w:val="16"/>
              </w:rPr>
              <w:t>_______________________________________________</w:t>
            </w:r>
          </w:p>
        </w:tc>
      </w:tr>
    </w:tbl>
    <w:p>
      <w:pPr>
        <w:spacing w:after="0"/>
      </w:pPr>
    </w:p>
    <w:p>
      <w:pPr>
        <w:pStyle w:val="Heading1"/>
      </w:pPr>
      <w:r>
        <w:t>PART VIII - EXECUTION-WEEK CHANGE CONTROL</w:t>
      </w:r>
    </w:p>
    <w:tbl>
      <w:tblPr>
        <w:tblW w:type="auto" w:w="0"/>
        <w:jc w:val="center"/>
        <w:tblLayout w:type="autofit"/>
        <w:tblLook w:firstColumn="1" w:firstRow="1" w:lastColumn="0" w:lastRow="0" w:noHBand="0" w:noVBand="1" w:val="04A0"/>
      </w:tblPr>
      <w:tblGrid>
        <w:gridCol w:w="10512"/>
      </w:tblGrid>
      <w:tr>
        <w:tc>
          <w:tcPr>
            <w:tcW w:type="dxa" w:w="10512"/>
            <w:shd w:fill="D9EAF7"/>
            <w:tcMar>
              <w:top w:w="90" w:type="dxa"/>
              <w:start w:w="110" w:type="dxa"/>
              <w:bottom w:w="90" w:type="dxa"/>
              <w:end w:w="110" w:type="dxa"/>
            </w:tcMar>
          </w:tcPr>
          <w:p>
            <w:pPr>
              <w:spacing w:after="0"/>
            </w:pPr>
            <w:r>
              <w:rPr>
                <w:rFonts w:ascii="Arial" w:hAnsi="Arial"/>
                <w:b/>
                <w:color w:val="1F4E78"/>
                <w:sz w:val="18"/>
              </w:rPr>
              <w:t xml:space="preserve">TARGET WEEK SWITCH: </w:t>
            </w:r>
            <w:r>
              <w:rPr>
                <w:rFonts w:ascii="Arial" w:hAnsi="Arial"/>
                <w:sz w:val="18"/>
              </w:rPr>
              <w:t>After publication, execution reflow work stays on the current published execution week. Do not revert to the normal next-week assumption for a reflow request.</w:t>
            </w:r>
          </w:p>
        </w:tc>
      </w:tr>
    </w:tbl>
    <w:p>
      <w:pPr>
        <w:spacing w:after="0"/>
      </w:pPr>
    </w:p>
    <w:p>
      <w:pPr>
        <w:pStyle w:val="CheckItem"/>
      </w:pPr>
      <w:r>
        <w:t xml:space="preserve">☐ </w:t>
      </w:r>
      <w:r>
        <w:t>Change remains within Top 3 delegation; otherwise DO coordination/decision obtained.</w:t>
      </w:r>
    </w:p>
    <w:p>
      <w:pPr>
        <w:pStyle w:val="CheckItem"/>
      </w:pPr>
      <w:r>
        <w:t xml:space="preserve">☐ </w:t>
      </w:r>
      <w:r>
        <w:t>Completed execution history is protected; minimum-change feasible reflow used unless directed otherwise.</w:t>
      </w:r>
    </w:p>
    <w:p>
      <w:pPr>
        <w:pStyle w:val="CheckItem"/>
      </w:pPr>
      <w:r>
        <w:t xml:space="preserve">☐ </w:t>
      </w:r>
      <w:r>
        <w:t>Every affected pilot, duty boundary, qualification/prerequisite, instructor/evaluator, aircraft/configuration, primary/spare line, support window, backup and later event rechecked.</w:t>
      </w:r>
    </w:p>
    <w:p>
      <w:pPr>
        <w:pStyle w:val="CheckItem"/>
      </w:pPr>
      <w:r>
        <w:t xml:space="preserve">☐ </w:t>
      </w:r>
      <w:r>
        <w:t>Required 2407 trigger/notification and other coordination identified.</w:t>
      </w:r>
    </w:p>
    <w:p>
      <w:pPr>
        <w:pStyle w:val="CheckItem"/>
      </w:pPr>
      <w:r>
        <w:t xml:space="preserve">☐ </w:t>
      </w:r>
      <w:r>
        <w:t>Change annotated in PEX, GONK and scheduling wall; sequential change number assigned; same distribution channels used.</w:t>
      </w:r>
    </w:p>
    <w:p>
      <w:pPr>
        <w:pStyle w:val="CheckItem"/>
      </w:pPr>
      <w:r>
        <w:t xml:space="preserve">☐ </w:t>
      </w:r>
      <w:r>
        <w:t>Positive two-way contact completed with every affected person; OPS SUP backup used as required.</w:t>
      </w:r>
    </w:p>
    <w:p>
      <w:pPr>
        <w:pStyle w:val="CheckItem"/>
      </w:pPr>
      <w:r>
        <w:t xml:space="preserve">☐ </w:t>
      </w:r>
      <w:r>
        <w:t>Cumulative weekly delta and daily signed/version record updated.</w:t>
      </w:r>
    </w:p>
    <w:p>
      <w:pPr>
        <w:pStyle w:val="Heading1"/>
      </w:pPr>
      <w:r>
        <w:t>FINAL NOTES / EXECUTION-WEEK WATCH ITEMS</w:t>
      </w:r>
    </w:p>
    <w:p>
      <w:pPr>
        <w:pStyle w:val="Small"/>
        <w:spacing w:after="40"/>
      </w:pPr>
      <w:r>
        <w:t>________________________________________________________________________________</w:t>
      </w:r>
    </w:p>
    <w:p>
      <w:pPr>
        <w:pStyle w:val="Small"/>
        <w:spacing w:after="40"/>
      </w:pPr>
      <w:r>
        <w:t>________________________________________________________________________________</w:t>
      </w:r>
    </w:p>
    <w:p>
      <w:pPr>
        <w:pStyle w:val="Small"/>
        <w:spacing w:after="40"/>
      </w:pPr>
      <w:r>
        <w:t>________________________________________________________________________________</w:t>
      </w:r>
    </w:p>
    <w:p>
      <w:pPr>
        <w:pStyle w:val="Small"/>
        <w:spacing w:after="40"/>
      </w:pPr>
      <w:r>
        <w:t>________________________________________________________________________________</w:t>
      </w:r>
    </w:p>
    <w:p>
      <w:pPr>
        <w:pStyle w:val="Small"/>
        <w:spacing w:after="40"/>
      </w:pPr>
      <w:r>
        <w:t>________________________________________________________________________________</w:t>
      </w:r>
    </w:p>
    <w:p>
      <w:pPr>
        <w:pStyle w:val="Small"/>
        <w:spacing w:after="40"/>
      </w:pPr>
      <w:r>
        <w:t>________________________________________________________________________________</w:t>
      </w:r>
    </w:p>
    <w:p>
      <w:pPr>
        <w:pStyle w:val="Small"/>
        <w:spacing w:after="40"/>
      </w:pPr>
      <w:r>
        <w:t>________________________________________________________________________________</w:t>
      </w:r>
    </w:p>
    <w:p>
      <w:pPr>
        <w:pStyle w:val="Small"/>
        <w:spacing w:after="40"/>
      </w:pPr>
      <w:r>
        <w:t>________________________________________________________________________________</w:t>
      </w:r>
    </w:p>
    <w:sectPr w:rsidR="00FC693F" w:rsidRPr="0006063C" w:rsidSect="00034616">
      <w:headerReference w:type="default" r:id="rId9"/>
      <w:footerReference w:type="default" r:id="rId10"/>
      <w:pgSz w:w="12240" w:h="15840"/>
      <w:pgMar w:top="792"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5"/>
      </w:rPr>
      <w:t>35 FS Scheduling Continuity Reference | CAO 17 Sept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5"/>
      </w:rPr>
      <w:t>Panton Weekly Scheduling QC and Buy-Sell Checklist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1F4E78"/>
      <w:sz w:val="25"/>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b/>
      <w:bCs/>
      <w:color w:val="1F4E78"/>
      <w:sz w:val="21"/>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ascii="Arial" w:hAnsi="Arial"/>
      <w:b/>
      <w:bCs/>
      <w:color w:val="1F1F1F"/>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F4E78"/>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iCs/>
      <w:color w:val="666666"/>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Bullet">
    <w:name w:val="Compact Bullet"/>
    <w:pPr>
      <w:spacing w:after="20"/>
      <w:ind w:left="317" w:hanging="202"/>
    </w:pPr>
    <w:rPr>
      <w:rFonts w:ascii="Arial" w:hAnsi="Arial"/>
      <w:sz w:val="18"/>
    </w:rPr>
  </w:style>
  <w:style w:type="paragraph" w:customStyle="1" w:styleId="CheckItem">
    <w:name w:val="Check Item"/>
    <w:pPr>
      <w:spacing w:after="20"/>
      <w:ind w:left="288" w:hanging="230"/>
    </w:pPr>
    <w:rPr>
      <w:rFonts w:ascii="Arial" w:hAnsi="Arial"/>
      <w:sz w:val="18"/>
    </w:rPr>
  </w:style>
  <w:style w:type="paragraph" w:customStyle="1" w:styleId="Small">
    <w:name w:val="Small"/>
    <w:pPr>
      <w:spacing w:after="20"/>
    </w:pPr>
    <w:rPr>
      <w:rFonts w:ascii="Arial" w:hAnsi="Arial"/>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