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NVIDIA Consumer GPU Comparison for Quantum Circuit Simulation</w:t>
      </w:r>
    </w:p>
    <w:p>
      <w:pPr>
        <w:spacing w:after="360"/>
        <w:jc w:val="center"/>
      </w:pPr>
      <w:r>
        <w:rPr>
          <w:i/>
          <w:iCs/>
          <w:sz w:val="22"/>
          <w:szCs w:val="22"/>
        </w:rPr>
        <w:t xml:space="preserve">Multi-GPU QAOA Simulations with Qiskit-Aer-GPU on AMD TRX50 AI TOP</w:t>
      </w:r>
    </w:p>
    <w:p>
      <w:pPr>
        <w:pStyle w:val="Heading2"/>
      </w:pPr>
      <w:r>
        <w:t xml:space="preserve">Executive Summary</w:t>
      </w:r>
    </w:p>
    <w:p>
      <w:pPr>
        <w:spacing w:after="180"/>
      </w:pPr>
      <w:r>
        <w:t xml:space="preserve">This analysis compares five NVIDIA consumer GPUs for running variational quantum circuit simulations using Qiskit Aer GPU on an AMD Threadripper TRX50 platform with four PCIe 5.0 x16 slots. The comparison evaluates bandwidth capabilities, compute performance, cost efficiency, thermal considerations, and practical deployment factors specific to QAOA (Quantum Approximate Optimization Algorithm) workloads.</w:t>
      </w:r>
    </w:p>
    <w:p>
      <w:pPr>
        <w:pStyle w:val="Heading2"/>
      </w:pPr>
      <w:r>
        <w:t xml:space="preserve">GPU Specifications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GPU Model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VRAM</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Memory BW</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CUDA Cores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TDP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RTX 5070 Ti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 GB GDDR7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896 GB/s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8,960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300W</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RTX 5070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 GB GDDR7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672 GB/s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6,144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250W</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RTX 5060 Ti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8/16 GB GDDR7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448 GB/s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4,352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220W</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RTX 3090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 GB GDDR6X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936 GB/s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10,496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350W</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RTX 4090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 GB GDDR6X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1,008 GB/s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16,384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450W</w:t>
            </w:r>
          </w:p>
        </w:tc>
      </w:tr>
    </w:tbl>
    <w:p>
      <w:pPr>
        <w:pStyle w:val="Heading2"/>
        <w:spacing w:before="360"/>
      </w:pPr>
      <w:r>
        <w:t xml:space="preserve">Detailed GPU Analysis</w:t>
      </w:r>
    </w:p>
    <w:p>
      <w:pPr>
        <w:pStyle w:val="Heading3"/>
      </w:pPr>
      <w:r>
        <w:t xml:space="preserve">RTX 5070 Ti - The Balanced Choice</w:t>
      </w:r>
    </w:p>
    <w:p>
      <w:pPr>
        <w:spacing w:after="120"/>
      </w:pPr>
      <w:r>
        <w:rPr>
          <w:b/>
          <w:bCs/>
        </w:rPr>
        <w:t xml:space="preserve">Advantages:</w:t>
      </w:r>
    </w:p>
    <w:p>
      <w:pPr>
        <w:pStyle w:val="ListParagraph"/>
        <w:numPr>
          <w:ilvl w:val="0"/>
          <w:numId w:val="2"/>
        </w:numPr>
      </w:pPr>
      <w:r>
        <w:t xml:space="preserve">16 GB VRAM provides sufficient memory for medium-scale quantum circuits (20-24 qubits per GPU depending on circuit depth)</w:t>
      </w:r>
    </w:p>
    <w:p>
      <w:pPr>
        <w:pStyle w:val="ListParagraph"/>
        <w:numPr>
          <w:ilvl w:val="0"/>
          <w:numId w:val="2"/>
        </w:numPr>
      </w:pPr>
      <w:r>
        <w:t xml:space="preserve">896 GB/s memory bandwidth handles statevector operations efficiently</w:t>
      </w:r>
    </w:p>
    <w:p>
      <w:pPr>
        <w:pStyle w:val="ListParagraph"/>
        <w:numPr>
          <w:ilvl w:val="0"/>
          <w:numId w:val="2"/>
        </w:numPr>
      </w:pPr>
      <w:r>
        <w:t xml:space="preserve">GDDR7 memory offers improved energy efficiency per bit transferred compared to GDDR6X</w:t>
      </w:r>
    </w:p>
    <w:p>
      <w:pPr>
        <w:pStyle w:val="ListParagraph"/>
        <w:numPr>
          <w:ilvl w:val="0"/>
          <w:numId w:val="2"/>
        </w:numPr>
      </w:pPr>
      <w:r>
        <w:t xml:space="preserve">300W TDP allows four-GPU configuration within typical 1600W PSU budget</w:t>
      </w:r>
    </w:p>
    <w:p>
      <w:pPr>
        <w:pStyle w:val="ListParagraph"/>
        <w:numPr>
          <w:ilvl w:val="0"/>
          <w:numId w:val="2"/>
        </w:numPr>
      </w:pPr>
      <w:r>
        <w:t xml:space="preserve">Blackwell architecture provides enhanced tensor operations for variational optimization</w:t>
      </w:r>
    </w:p>
    <w:p>
      <w:pPr>
        <w:pStyle w:val="ListParagraph"/>
        <w:numPr>
          <w:ilvl w:val="0"/>
          <w:numId w:val="2"/>
        </w:numPr>
      </w:pPr>
      <w:r>
        <w:t xml:space="preserve">Price-to-performance sweet spot for multi-GPU quantum simulation setups</w:t>
      </w:r>
    </w:p>
    <w:p>
      <w:pPr>
        <w:spacing w:before="120" w:after="120"/>
      </w:pPr>
      <w:r>
        <w:rPr>
          <w:b/>
          <w:bCs/>
        </w:rPr>
        <w:t xml:space="preserve">Disadvantages:</w:t>
      </w:r>
    </w:p>
    <w:p>
      <w:pPr>
        <w:pStyle w:val="ListParagraph"/>
        <w:numPr>
          <w:ilvl w:val="0"/>
          <w:numId w:val="2"/>
        </w:numPr>
      </w:pPr>
      <w:r>
        <w:t xml:space="preserve">Lower memory bandwidth than RTX 3090/4090 may bottleneck large statevector transfers</w:t>
      </w:r>
    </w:p>
    <w:p>
      <w:pPr>
        <w:pStyle w:val="ListParagraph"/>
        <w:numPr>
          <w:ilvl w:val="0"/>
          <w:numId w:val="2"/>
        </w:numPr>
      </w:pPr>
      <w:r>
        <w:t xml:space="preserve">16 GB VRAM limits maximum qubit count compared to 24 GB options</w:t>
      </w:r>
    </w:p>
    <w:p>
      <w:pPr>
        <w:pStyle w:val="ListParagraph"/>
        <w:numPr>
          <w:ilvl w:val="0"/>
          <w:numId w:val="2"/>
        </w:numPr>
      </w:pPr>
      <w:r>
        <w:t xml:space="preserve">Fewer CUDA cores than flagship models reduces parallel gate application throughput</w:t>
      </w:r>
    </w:p>
    <w:p>
      <w:pPr>
        <w:spacing w:before="120" w:after="120"/>
      </w:pPr>
      <w:r>
        <w:rPr>
          <w:b/>
          <w:bCs/>
        </w:rPr>
        <w:t xml:space="preserve">Quantum Simulation Performance:</w:t>
      </w:r>
    </w:p>
    <w:p>
      <w:pPr>
        <w:spacing w:after="180"/>
      </w:pPr>
      <w:r>
        <w:t xml:space="preserve">For QAOA workloads, the 5070 Ti can handle approximately 22-qubit circuits with moderate depth. In a four-GPU setup, parallel execution of parameter sweeps or multiple optimization runs scales efficiently. Memory bandwidth utilization typically reaches 65-75% during statevector manipulation phases.</w:t>
      </w:r>
    </w:p>
    <w:p>
      <w:pPr>
        <w:pStyle w:val="Heading3"/>
      </w:pPr>
      <w:r>
        <w:t xml:space="preserve">RTX 5070 - Budget Multi-GPU Option</w:t>
      </w:r>
    </w:p>
    <w:p>
      <w:pPr>
        <w:spacing w:after="120"/>
      </w:pPr>
      <w:r>
        <w:rPr>
          <w:b/>
          <w:bCs/>
        </w:rPr>
        <w:t xml:space="preserve">Advantages:</w:t>
      </w:r>
    </w:p>
    <w:p>
      <w:pPr>
        <w:pStyle w:val="ListParagraph"/>
        <w:numPr>
          <w:ilvl w:val="0"/>
          <w:numId w:val="2"/>
        </w:numPr>
      </w:pPr>
      <w:r>
        <w:t xml:space="preserve">Lower price point enables budget-conscious four-GPU configurations</w:t>
      </w:r>
    </w:p>
    <w:p>
      <w:pPr>
        <w:pStyle w:val="ListParagraph"/>
        <w:numPr>
          <w:ilvl w:val="0"/>
          <w:numId w:val="2"/>
        </w:numPr>
      </w:pPr>
      <w:r>
        <w:t xml:space="preserve">250W TDP provides excellent power efficiency (4x GPUs = 1000W total)</w:t>
      </w:r>
    </w:p>
    <w:p>
      <w:pPr>
        <w:pStyle w:val="ListParagraph"/>
        <w:numPr>
          <w:ilvl w:val="0"/>
          <w:numId w:val="2"/>
        </w:numPr>
      </w:pPr>
      <w:r>
        <w:t xml:space="preserve">Reduced heat output simplifies cooling in dense multi-GPU setup</w:t>
      </w:r>
    </w:p>
    <w:p>
      <w:pPr>
        <w:pStyle w:val="ListParagraph"/>
        <w:numPr>
          <w:ilvl w:val="0"/>
          <w:numId w:val="2"/>
        </w:numPr>
      </w:pPr>
      <w:r>
        <w:t xml:space="preserve">GDDR7 memory technology offers better efficiency than previous generations</w:t>
      </w:r>
    </w:p>
    <w:p>
      <w:pPr>
        <w:pStyle w:val="ListParagraph"/>
        <w:numPr>
          <w:ilvl w:val="0"/>
          <w:numId w:val="2"/>
        </w:numPr>
      </w:pPr>
      <w:r>
        <w:t xml:space="preserve">12 GB VRAM sufficient for many practical QAOA applications (18-20 qubits)</w:t>
      </w:r>
    </w:p>
    <w:p>
      <w:pPr>
        <w:spacing w:before="120" w:after="120"/>
      </w:pPr>
      <w:r>
        <w:rPr>
          <w:b/>
          <w:bCs/>
        </w:rPr>
        <w:t xml:space="preserve">Disadvantages:</w:t>
      </w:r>
    </w:p>
    <w:p>
      <w:pPr>
        <w:pStyle w:val="ListParagraph"/>
        <w:numPr>
          <w:ilvl w:val="0"/>
          <w:numId w:val="2"/>
        </w:numPr>
      </w:pPr>
      <w:r>
        <w:t xml:space="preserve">672 GB/s bandwidth creates bottleneck for large statevector operations</w:t>
      </w:r>
    </w:p>
    <w:p>
      <w:pPr>
        <w:pStyle w:val="ListParagraph"/>
        <w:numPr>
          <w:ilvl w:val="0"/>
          <w:numId w:val="2"/>
        </w:numPr>
      </w:pPr>
      <w:r>
        <w:t xml:space="preserve">12 GB VRAM significantly limits maximum qubit count</w:t>
      </w:r>
    </w:p>
    <w:p>
      <w:pPr>
        <w:pStyle w:val="ListParagraph"/>
        <w:numPr>
          <w:ilvl w:val="0"/>
          <w:numId w:val="2"/>
        </w:numPr>
      </w:pPr>
      <w:r>
        <w:t xml:space="preserve">Lowest compute performance in comparison group</w:t>
      </w:r>
    </w:p>
    <w:p>
      <w:pPr>
        <w:pStyle w:val="ListParagraph"/>
        <w:numPr>
          <w:ilvl w:val="0"/>
          <w:numId w:val="2"/>
        </w:numPr>
      </w:pPr>
      <w:r>
        <w:t xml:space="preserve">Memory limitation may require more frequent host-GPU transfers in complex workflows</w:t>
      </w:r>
    </w:p>
    <w:p>
      <w:pPr>
        <w:spacing w:before="120" w:after="120"/>
      </w:pPr>
      <w:r>
        <w:rPr>
          <w:b/>
          <w:bCs/>
        </w:rPr>
        <w:t xml:space="preserve">Quantum Simulation Performance:</w:t>
      </w:r>
    </w:p>
    <w:p>
      <w:pPr>
        <w:spacing w:after="180"/>
      </w:pPr>
      <w:r>
        <w:t xml:space="preserve">Appropriate for QAOA circuits up to approximately 20 qubits with shallow to moderate depth. Best utilized for parameter grid searches where multiple independent simulations run in parallel across GPUs rather than single large-scale circuits. Memory bandwidth becomes the primary constraint around 19-20 qubits.</w:t>
      </w:r>
    </w:p>
    <w:p>
      <w:pPr>
        <w:pStyle w:val="Heading3"/>
      </w:pPr>
      <w:r>
        <w:t xml:space="preserve">RTX 5060 Ti - Entry-Level or Development Platform</w:t>
      </w:r>
    </w:p>
    <w:p>
      <w:pPr>
        <w:spacing w:after="120"/>
      </w:pPr>
      <w:r>
        <w:rPr>
          <w:b/>
          <w:bCs/>
        </w:rPr>
        <w:t xml:space="preserve">Advantages:</w:t>
      </w:r>
    </w:p>
    <w:p>
      <w:pPr>
        <w:pStyle w:val="ListParagraph"/>
        <w:numPr>
          <w:ilvl w:val="0"/>
          <w:numId w:val="2"/>
        </w:numPr>
      </w:pPr>
      <w:r>
        <w:t xml:space="preserve">16 GB variant available (8 GB variant not recommended for quantum simulation)</w:t>
      </w:r>
    </w:p>
    <w:p>
      <w:pPr>
        <w:pStyle w:val="ListParagraph"/>
        <w:numPr>
          <w:ilvl w:val="0"/>
          <w:numId w:val="2"/>
        </w:numPr>
      </w:pPr>
      <w:r>
        <w:t xml:space="preserve">Lowest power consumption (220W) enables easiest cooling solution</w:t>
      </w:r>
    </w:p>
    <w:p>
      <w:pPr>
        <w:pStyle w:val="ListParagraph"/>
        <w:numPr>
          <w:ilvl w:val="0"/>
          <w:numId w:val="2"/>
        </w:numPr>
      </w:pPr>
      <w:r>
        <w:t xml:space="preserve">Most affordable option for testing multi-GPU quantum simulation workflows</w:t>
      </w:r>
    </w:p>
    <w:p>
      <w:pPr>
        <w:pStyle w:val="ListParagraph"/>
        <w:numPr>
          <w:ilvl w:val="0"/>
          <w:numId w:val="2"/>
        </w:numPr>
      </w:pPr>
      <w:r>
        <w:t xml:space="preserve">Lower thermal output allows tighter spacing in PCIe slots</w:t>
      </w:r>
    </w:p>
    <w:p>
      <w:pPr>
        <w:spacing w:before="120" w:after="120"/>
      </w:pPr>
      <w:r>
        <w:rPr>
          <w:b/>
          <w:bCs/>
        </w:rPr>
        <w:t xml:space="preserve">Disadvantages:</w:t>
      </w:r>
    </w:p>
    <w:p>
      <w:pPr>
        <w:pStyle w:val="ListParagraph"/>
        <w:numPr>
          <w:ilvl w:val="0"/>
          <w:numId w:val="2"/>
        </w:numPr>
      </w:pPr>
      <w:r>
        <w:t xml:space="preserve">Severely limited 448 GB/s memory bandwidth creates significant bottleneck</w:t>
      </w:r>
    </w:p>
    <w:p>
      <w:pPr>
        <w:pStyle w:val="ListParagraph"/>
        <w:numPr>
          <w:ilvl w:val="0"/>
          <w:numId w:val="2"/>
        </w:numPr>
      </w:pPr>
      <w:r>
        <w:t xml:space="preserve">Lowest CUDA core count (4,352) limits parallel gate operations</w:t>
      </w:r>
    </w:p>
    <w:p>
      <w:pPr>
        <w:pStyle w:val="ListParagraph"/>
        <w:numPr>
          <w:ilvl w:val="0"/>
          <w:numId w:val="2"/>
        </w:numPr>
      </w:pPr>
      <w:r>
        <w:t xml:space="preserve">Poor price-to-performance ratio for serious quantum simulation work</w:t>
      </w:r>
    </w:p>
    <w:p>
      <w:pPr>
        <w:pStyle w:val="ListParagraph"/>
        <w:numPr>
          <w:ilvl w:val="0"/>
          <w:numId w:val="2"/>
        </w:numPr>
      </w:pPr>
      <w:r>
        <w:t xml:space="preserve">Memory bandwidth becomes bottleneck even at modest qubit counts (16-18)</w:t>
      </w:r>
    </w:p>
    <w:p>
      <w:pPr>
        <w:spacing w:before="120" w:after="120"/>
      </w:pPr>
      <w:r>
        <w:rPr>
          <w:b/>
          <w:bCs/>
        </w:rPr>
        <w:t xml:space="preserve">Quantum Simulation Performance:</w:t>
      </w:r>
    </w:p>
    <w:p>
      <w:pPr>
        <w:spacing w:after="180"/>
      </w:pPr>
      <w:r>
        <w:t xml:space="preserve">Not recommended for production quantum simulation workloads. Suitable only for algorithm development, testing, or educational purposes with circuits limited to 16-18 qubits. The bandwidth constraint will bottleneck performance significantly compared to higher-tier options, making four-GPU scaling inefficient.</w:t>
      </w:r>
    </w:p>
    <w:p>
      <w:pPr>
        <w:pStyle w:val="Heading3"/>
      </w:pPr>
      <w:r>
        <w:t xml:space="preserve">RTX 3090 - Maximum VRAM Legacy Option</w:t>
      </w:r>
    </w:p>
    <w:p>
      <w:pPr>
        <w:spacing w:after="120"/>
      </w:pPr>
      <w:r>
        <w:rPr>
          <w:b/>
          <w:bCs/>
        </w:rPr>
        <w:t xml:space="preserve">Advantages:</w:t>
      </w:r>
    </w:p>
    <w:p>
      <w:pPr>
        <w:pStyle w:val="ListParagraph"/>
        <w:numPr>
          <w:ilvl w:val="0"/>
          <w:numId w:val="2"/>
        </w:numPr>
      </w:pPr>
      <w:r>
        <w:t xml:space="preserve">24 GB VRAM enables maximum qubit count (23-25 qubits depending on circuit structure)</w:t>
      </w:r>
    </w:p>
    <w:p>
      <w:pPr>
        <w:pStyle w:val="ListParagraph"/>
        <w:numPr>
          <w:ilvl w:val="0"/>
          <w:numId w:val="2"/>
        </w:numPr>
      </w:pPr>
      <w:r>
        <w:t xml:space="preserve">Excellent 936 GB/s memory bandwidth for statevector operations</w:t>
      </w:r>
    </w:p>
    <w:p>
      <w:pPr>
        <w:pStyle w:val="ListParagraph"/>
        <w:numPr>
          <w:ilvl w:val="0"/>
          <w:numId w:val="2"/>
        </w:numPr>
      </w:pPr>
      <w:r>
        <w:t xml:space="preserve">10,496 CUDA cores provide strong compute performance</w:t>
      </w:r>
    </w:p>
    <w:p>
      <w:pPr>
        <w:pStyle w:val="ListParagraph"/>
        <w:numPr>
          <w:ilvl w:val="0"/>
          <w:numId w:val="2"/>
        </w:numPr>
      </w:pPr>
      <w:r>
        <w:t xml:space="preserve">Available on secondary market at reduced prices</w:t>
      </w:r>
    </w:p>
    <w:p>
      <w:pPr>
        <w:pStyle w:val="ListParagraph"/>
        <w:numPr>
          <w:ilvl w:val="0"/>
          <w:numId w:val="2"/>
        </w:numPr>
      </w:pPr>
      <w:r>
        <w:t xml:space="preserve">Mature driver support and extensive community documentation for compute workloads</w:t>
      </w:r>
    </w:p>
    <w:p>
      <w:pPr>
        <w:spacing w:before="120" w:after="120"/>
      </w:pPr>
      <w:r>
        <w:rPr>
          <w:b/>
          <w:bCs/>
        </w:rPr>
        <w:t xml:space="preserve">Disadvantages:</w:t>
      </w:r>
    </w:p>
    <w:p>
      <w:pPr>
        <w:pStyle w:val="ListParagraph"/>
        <w:numPr>
          <w:ilvl w:val="0"/>
          <w:numId w:val="2"/>
        </w:numPr>
      </w:pPr>
      <w:r>
        <w:t xml:space="preserve">High 350W TDP limits four-GPU setups to 1400W+ (requires robust PSU and cooling)</w:t>
      </w:r>
    </w:p>
    <w:p>
      <w:pPr>
        <w:pStyle w:val="ListParagraph"/>
        <w:numPr>
          <w:ilvl w:val="0"/>
          <w:numId w:val="2"/>
        </w:numPr>
      </w:pPr>
      <w:r>
        <w:t xml:space="preserve">GDDR6X memory runs hot, requiring excellent airflow between cards</w:t>
      </w:r>
    </w:p>
    <w:p>
      <w:pPr>
        <w:pStyle w:val="ListParagraph"/>
        <w:numPr>
          <w:ilvl w:val="0"/>
          <w:numId w:val="2"/>
        </w:numPr>
      </w:pPr>
      <w:r>
        <w:t xml:space="preserve">Older Ampere architecture lacks optimizations present in newer generations</w:t>
      </w:r>
    </w:p>
    <w:p>
      <w:pPr>
        <w:pStyle w:val="ListParagraph"/>
        <w:numPr>
          <w:ilvl w:val="0"/>
          <w:numId w:val="2"/>
        </w:numPr>
      </w:pPr>
      <w:r>
        <w:t xml:space="preserve">Used market availability may have wear concerns (mining workload history)</w:t>
      </w:r>
    </w:p>
    <w:p>
      <w:pPr>
        <w:pStyle w:val="ListParagraph"/>
        <w:numPr>
          <w:ilvl w:val="0"/>
          <w:numId w:val="2"/>
        </w:numPr>
      </w:pPr>
      <w:r>
        <w:t xml:space="preserve">Limited PCIe 4.0 bandwidth vs PCIe 5.0 support in newer cards</w:t>
      </w:r>
    </w:p>
    <w:p>
      <w:pPr>
        <w:spacing w:before="120" w:after="120"/>
      </w:pPr>
      <w:r>
        <w:rPr>
          <w:b/>
          <w:bCs/>
        </w:rPr>
        <w:t xml:space="preserve">Quantum Simulation Performance:</w:t>
      </w:r>
    </w:p>
    <w:p>
      <w:pPr>
        <w:spacing w:after="180"/>
      </w:pPr>
      <w:r>
        <w:t xml:space="preserve">Excellent for large-scale QAOA circuits requiring maximum memory capacity. The 24 GB VRAM allows exploration of 24-25 qubit systems, which represent the practical limit for classical simulation. Memory bandwidth utilization typically reaches 80-90% during intensive statevector operations. Four-GPU scaling is effective but requires careful thermal management.</w:t>
      </w:r>
    </w:p>
    <w:p>
      <w:pPr>
        <w:pStyle w:val="Heading3"/>
      </w:pPr>
      <w:r>
        <w:t xml:space="preserve">RTX 4090 - Maximum Performance</w:t>
      </w:r>
    </w:p>
    <w:p>
      <w:pPr>
        <w:spacing w:after="120"/>
      </w:pPr>
      <w:r>
        <w:rPr>
          <w:b/>
          <w:bCs/>
        </w:rPr>
        <w:t xml:space="preserve">Advantages:</w:t>
      </w:r>
    </w:p>
    <w:p>
      <w:pPr>
        <w:pStyle w:val="ListParagraph"/>
        <w:numPr>
          <w:ilvl w:val="0"/>
          <w:numId w:val="2"/>
        </w:numPr>
      </w:pPr>
      <w:r>
        <w:t xml:space="preserve">Best-in-class memory bandwidth at 1,008 GB/s</w:t>
      </w:r>
    </w:p>
    <w:p>
      <w:pPr>
        <w:pStyle w:val="ListParagraph"/>
        <w:numPr>
          <w:ilvl w:val="0"/>
          <w:numId w:val="2"/>
        </w:numPr>
      </w:pPr>
      <w:r>
        <w:t xml:space="preserve">Maximum 24 GB VRAM for largest possible quantum circuits</w:t>
      </w:r>
    </w:p>
    <w:p>
      <w:pPr>
        <w:pStyle w:val="ListParagraph"/>
        <w:numPr>
          <w:ilvl w:val="0"/>
          <w:numId w:val="2"/>
        </w:numPr>
      </w:pPr>
      <w:r>
        <w:t xml:space="preserve">16,384 CUDA cores provide exceptional parallel processing</w:t>
      </w:r>
    </w:p>
    <w:p>
      <w:pPr>
        <w:pStyle w:val="ListParagraph"/>
        <w:numPr>
          <w:ilvl w:val="0"/>
          <w:numId w:val="2"/>
        </w:numPr>
      </w:pPr>
      <w:r>
        <w:t xml:space="preserve">Ada Lovelace architecture optimizations improve compute efficiency</w:t>
      </w:r>
    </w:p>
    <w:p>
      <w:pPr>
        <w:pStyle w:val="ListParagraph"/>
        <w:numPr>
          <w:ilvl w:val="0"/>
          <w:numId w:val="2"/>
        </w:numPr>
      </w:pPr>
      <w:r>
        <w:t xml:space="preserve">Superior performance for both statevector manipulation and gate operations</w:t>
      </w:r>
    </w:p>
    <w:p>
      <w:pPr>
        <w:spacing w:before="120" w:after="120"/>
      </w:pPr>
      <w:r>
        <w:rPr>
          <w:b/>
          <w:bCs/>
        </w:rPr>
        <w:t xml:space="preserve">Disadvantages:</w:t>
      </w:r>
    </w:p>
    <w:p>
      <w:pPr>
        <w:pStyle w:val="ListParagraph"/>
        <w:numPr>
          <w:ilvl w:val="0"/>
          <w:numId w:val="2"/>
        </w:numPr>
      </w:pPr>
      <w:r>
        <w:t xml:space="preserve">Highest cost per GPU in comparison</w:t>
      </w:r>
    </w:p>
    <w:p>
      <w:pPr>
        <w:pStyle w:val="ListParagraph"/>
        <w:numPr>
          <w:ilvl w:val="0"/>
          <w:numId w:val="2"/>
        </w:numPr>
      </w:pPr>
      <w:r>
        <w:t xml:space="preserve">450W TDP per card creates significant power and thermal challenges (4x = 1800W)</w:t>
      </w:r>
    </w:p>
    <w:p>
      <w:pPr>
        <w:pStyle w:val="ListParagraph"/>
        <w:numPr>
          <w:ilvl w:val="0"/>
          <w:numId w:val="2"/>
        </w:numPr>
      </w:pPr>
      <w:r>
        <w:t xml:space="preserve">Requires premium PSU (2000W+ for four-GPU configuration)</w:t>
      </w:r>
    </w:p>
    <w:p>
      <w:pPr>
        <w:pStyle w:val="ListParagraph"/>
        <w:numPr>
          <w:ilvl w:val="0"/>
          <w:numId w:val="2"/>
        </w:numPr>
      </w:pPr>
      <w:r>
        <w:t xml:space="preserve">Physical size may create spacing issues in multi-GPU configuration</w:t>
      </w:r>
    </w:p>
    <w:p>
      <w:pPr>
        <w:pStyle w:val="ListParagraph"/>
        <w:numPr>
          <w:ilvl w:val="0"/>
          <w:numId w:val="2"/>
        </w:numPr>
      </w:pPr>
      <w:r>
        <w:t xml:space="preserve">Cooling demands necessitate excellent case airflow or water cooling</w:t>
      </w:r>
    </w:p>
    <w:p>
      <w:pPr>
        <w:spacing w:before="120" w:after="120"/>
      </w:pPr>
      <w:r>
        <w:rPr>
          <w:b/>
          <w:bCs/>
        </w:rPr>
        <w:t xml:space="preserve">Quantum Simulation Performance:</w:t>
      </w:r>
    </w:p>
    <w:p>
      <w:pPr>
        <w:spacing w:after="180"/>
      </w:pPr>
      <w:r>
        <w:t xml:space="preserve">The ultimate choice for quantum circuit simulation with uncompromising performance. Handles 25-qubit circuits with deep QAOA layers efficiently. Memory bandwidth and compute performance eliminate most bottlenecks. Four-GPU scaling is highly effective for parameter optimization sweeps, though the power and thermal requirements demand professional-grade infrastructure.</w:t>
      </w:r>
    </w:p>
    <w:p>
      <w:pPr>
        <w:pStyle w:val="Heading2"/>
        <w:spacing w:before="360"/>
      </w:pPr>
      <w:r>
        <w:t xml:space="preserve">TRX50 Platform-Specific Considerations</w:t>
      </w:r>
    </w:p>
    <w:p>
      <w:pPr>
        <w:pStyle w:val="Heading3"/>
      </w:pPr>
      <w:r>
        <w:t xml:space="preserve">PCIe Configuration and Bandwidth</w:t>
      </w:r>
    </w:p>
    <w:p>
      <w:pPr>
        <w:spacing w:after="120"/>
      </w:pPr>
      <w:r>
        <w:t xml:space="preserve">The TRX50 AI TOP motherboard provides four PCIe 5.0 x16 slots with direct CPU connectivity. This configuration offers exceptional bandwidth for multi-GPU quantum simulation:</w:t>
      </w:r>
    </w:p>
    <w:p>
      <w:pPr>
        <w:pStyle w:val="ListParagraph"/>
        <w:numPr>
          <w:ilvl w:val="0"/>
          <w:numId w:val="2"/>
        </w:numPr>
      </w:pPr>
      <w:r>
        <w:t xml:space="preserve">PCIe 5.0 x16 delivers 128 GB/s bidirectional bandwidth per slot</w:t>
      </w:r>
    </w:p>
    <w:p>
      <w:pPr>
        <w:pStyle w:val="ListParagraph"/>
        <w:numPr>
          <w:ilvl w:val="0"/>
          <w:numId w:val="2"/>
        </w:numPr>
      </w:pPr>
      <w:r>
        <w:t xml:space="preserve">No PCIe switching reduces latency for GPU-GPU communication</w:t>
      </w:r>
    </w:p>
    <w:p>
      <w:pPr>
        <w:pStyle w:val="ListParagraph"/>
        <w:numPr>
          <w:ilvl w:val="0"/>
          <w:numId w:val="2"/>
        </w:numPr>
      </w:pPr>
      <w:r>
        <w:t xml:space="preserve">Sufficient bandwidth for distributing statevector chunks across GPUs</w:t>
      </w:r>
    </w:p>
    <w:p>
      <w:pPr>
        <w:pStyle w:val="ListParagraph"/>
        <w:numPr>
          <w:ilvl w:val="0"/>
          <w:numId w:val="2"/>
        </w:numPr>
        <w:spacing w:after="180"/>
      </w:pPr>
      <w:r>
        <w:t xml:space="preserve">Threadripper PRO CPUs provide 128 PCIe 5.0 lanes total (ample for four GPUs plus NVMe storage)</w:t>
      </w:r>
    </w:p>
    <w:p>
      <w:pPr>
        <w:spacing w:after="120"/>
      </w:pPr>
      <w:r>
        <w:rPr>
          <w:b/>
          <w:bCs/>
        </w:rPr>
        <w:t xml:space="preserve">Bandwidth Utilization Analysis:</w:t>
      </w:r>
    </w:p>
    <w:p>
      <w:pPr>
        <w:spacing w:after="180"/>
      </w:pPr>
      <w:r>
        <w:t xml:space="preserve">For Qiskit-Aer-GPU multi-GPU operations, statevector distribution and synchronization typically consume 15-30% of available PCIe bandwidth during parallel execution. The PCIe 5.0 specification provides sufficient overhead to avoid bottlenecking even with four high-bandwidth GPUs like the RTX 4090. RTX 50-series cards with PCIe 5.0 support can fully utilize the platform capabilities.</w:t>
      </w:r>
    </w:p>
    <w:p>
      <w:pPr>
        <w:pStyle w:val="Heading3"/>
      </w:pPr>
      <w:r>
        <w:t xml:space="preserve">Thermal Management and Airflow</w:t>
      </w:r>
    </w:p>
    <w:p>
      <w:pPr>
        <w:spacing w:after="120"/>
      </w:pPr>
      <w:r>
        <w:t xml:space="preserve">Four-GPU configurations present significant thermal challenges that directly impact sustained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Configuration</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Total TDP</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Heat Output</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PSU Req.</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Cooling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5070 Ti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4100 BTU/hr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Adequate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5070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3400 BTU/hr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5060 Ti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880W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3000 BTU/hr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Excellent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3090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4800 BTU/hr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1800W+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Challenging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4090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1800W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6100 BTU/hr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2200W+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bl>
    <w:p>
      <w:pPr>
        <w:spacing w:before="180" w:after="120"/>
      </w:pPr>
      <w:r>
        <w:rPr>
          <w:b/>
          <w:bCs/>
        </w:rPr>
        <w:t xml:space="preserve">Airflow Recommendations:</w:t>
      </w:r>
    </w:p>
    <w:p>
      <w:pPr>
        <w:pStyle w:val="ListParagraph"/>
        <w:numPr>
          <w:ilvl w:val="0"/>
          <w:numId w:val="2"/>
        </w:numPr>
      </w:pPr>
      <w:r>
        <w:t xml:space="preserve">Minimum 3-slot spacing between GPUs (use slots 1, 3 for two-GPU; 1, 2, 4 for three-GPU)</w:t>
      </w:r>
    </w:p>
    <w:p>
      <w:pPr>
        <w:pStyle w:val="ListParagraph"/>
        <w:numPr>
          <w:ilvl w:val="0"/>
          <w:numId w:val="2"/>
        </w:numPr>
      </w:pPr>
      <w:r>
        <w:t xml:space="preserve">High-airflow case with front-to-back ventilation pattern</w:t>
      </w:r>
    </w:p>
    <w:p>
      <w:pPr>
        <w:pStyle w:val="ListParagraph"/>
        <w:numPr>
          <w:ilvl w:val="0"/>
          <w:numId w:val="2"/>
        </w:numPr>
      </w:pPr>
      <w:r>
        <w:t xml:space="preserve">Blower-style or hybrid-cooled cards preferred for slot 1 and 2 positions</w:t>
      </w:r>
    </w:p>
    <w:p>
      <w:pPr>
        <w:pStyle w:val="ListParagraph"/>
        <w:numPr>
          <w:ilvl w:val="0"/>
          <w:numId w:val="2"/>
        </w:numPr>
      </w:pPr>
      <w:r>
        <w:t xml:space="preserve">Consider undervolting to reduce heat without significant performance loss</w:t>
      </w:r>
    </w:p>
    <w:p>
      <w:pPr>
        <w:pStyle w:val="ListParagraph"/>
        <w:numPr>
          <w:ilvl w:val="0"/>
          <w:numId w:val="2"/>
        </w:numPr>
        <w:spacing w:after="180"/>
      </w:pPr>
      <w:r>
        <w:t xml:space="preserve">For RTX 3090/4090 four-GPU setups, water cooling strongly recommended</w:t>
      </w:r>
    </w:p>
    <w:p>
      <w:pPr>
        <w:pStyle w:val="Heading2"/>
        <w:spacing w:before="360"/>
      </w:pPr>
      <w:r>
        <w:t xml:space="preserve">Recommendations by Use Case</w:t>
      </w:r>
    </w:p>
    <w:p>
      <w:pPr>
        <w:pStyle w:val="Heading3"/>
      </w:pPr>
      <w:r>
        <w:t xml:space="preserve">Maximum Performance (Budget Unconstrained)</w:t>
      </w:r>
    </w:p>
    <w:p>
      <w:pPr>
        <w:spacing w:after="180"/>
      </w:pPr>
      <w:r>
        <w:rPr>
          <w:b/>
          <w:bCs/>
        </w:rPr>
        <w:t xml:space="preserve">Recommended: 4x RTX 4090</w:t>
      </w:r>
      <w:r>
        <w:t xml:space="preserve">
This configuration provides uncompromising performance for quantum simulation research. Expect to invest in premium infrastructure (2200W+ titanium PSU, water cooling loop or enterprise air cooling, rack-mount case). Suitable for researchers pushing the boundaries of classical quantum simulation who require maximum qubit count and fastest execution times.</w:t>
      </w:r>
    </w:p>
    <w:p>
      <w:pPr>
        <w:pStyle w:val="Heading3"/>
      </w:pPr>
      <w:r>
        <w:t xml:space="preserve">Best Performance-per-Dollar</w:t>
      </w:r>
    </w:p>
    <w:p>
      <w:pPr>
        <w:spacing w:after="180"/>
      </w:pPr>
      <w:r>
        <w:rPr>
          <w:b/>
          <w:bCs/>
        </w:rPr>
        <w:t xml:space="preserve">Recommended: 4x RTX 5070 Ti</w:t>
      </w:r>
      <w:r>
        <w:t xml:space="preserve">
The optimal balance for most quantum simulation workflows. Provides 16 GB VRAM per GPU (sufficient for 22-qubit circuits), strong memory bandwidth, and manageable power/thermal requirements. Four-GPU configuration fits within standard 1600W PSU and air cooling capabilities. This is the recommended starting point for serious QAOA research.</w:t>
      </w:r>
    </w:p>
    <w:p>
      <w:pPr>
        <w:pStyle w:val="Heading3"/>
      </w:pPr>
      <w:r>
        <w:t xml:space="preserve">Maximum VRAM on Budget</w:t>
      </w:r>
    </w:p>
    <w:p>
      <w:pPr>
        <w:spacing w:after="180"/>
      </w:pPr>
      <w:r>
        <w:rPr>
          <w:b/>
          <w:bCs/>
        </w:rPr>
        <w:t xml:space="preserve">Recommended: 4x RTX 3090 (used market)</w:t>
      </w:r>
      <w:r>
        <w:t xml:space="preserve">
For researchers requiring 24 GB VRAM but operating under budget constraints, used RTX 3090 cards offer excellent value. However, carefully verify thermal paste condition and verify absence of mining workload degradation. Expect to invest in robust cooling solution. Consider mixing with newer cards (e.g., 2x RTX 3090 + 2x RTX 5070 Ti) if budget allows.</w:t>
      </w:r>
    </w:p>
    <w:p>
      <w:pPr>
        <w:pStyle w:val="Heading3"/>
      </w:pPr>
      <w:r>
        <w:t xml:space="preserve">Development and Testing</w:t>
      </w:r>
    </w:p>
    <w:p>
      <w:pPr>
        <w:spacing w:after="180"/>
      </w:pPr>
      <w:r>
        <w:rPr>
          <w:b/>
          <w:bCs/>
        </w:rPr>
        <w:t xml:space="preserve">Recommended: 2x RTX 5070</w:t>
      </w:r>
      <w:r>
        <w:t xml:space="preserve">
For algorithm development and workflow testing before scaling to production, a two-GPU RTX 5070 configuration provides adequate performance at minimal cost. This setup allows validation of multi-GPU code paths without the infrastructure requirements of a four-GPU system. Easy thermal management and low power consumption.</w:t>
      </w:r>
    </w:p>
    <w:p>
      <w:pPr>
        <w:pStyle w:val="Heading2"/>
        <w:spacing w:before="360"/>
      </w:pPr>
      <w:r>
        <w:t xml:space="preserve">Cost and Infrastructure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Configuration</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GPU Cost</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PSU Cost</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Cooling</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Power/mo</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5070 Ti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5070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5060 Ti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$1,850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3090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4x RTX 4090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$7,400</w:t>
            </w:r>
          </w:p>
        </w:tc>
      </w:tr>
    </w:tbl>
    <w:p>
      <w:pPr>
        <w:spacing w:before="180" w:after="120"/>
      </w:pPr>
      <w:r>
        <w:rPr>
          <w:b/>
          <w:bCs/>
        </w:rPr>
        <w:t xml:space="preserve">Note: </w:t>
      </w:r>
      <w:r>
        <w:t xml:space="preserve">Power costs assume $0.145/kWh and continuous operation. GPU costs are approximate MSRP or typical used market pricing. Infrastructure costs include PSU, cooling upgrades, and necessary cabling.</w:t>
      </w:r>
    </w:p>
    <w:p>
      <w:pPr>
        <w:pStyle w:val="Heading2"/>
        <w:spacing w:before="360"/>
      </w:pPr>
      <w:r>
        <w:t xml:space="preserve">Qiskit-Aer-GPU Implementation Notes</w:t>
      </w:r>
    </w:p>
    <w:p>
      <w:pPr>
        <w:spacing w:after="120"/>
      </w:pPr>
      <w:r>
        <w:rPr>
          <w:b/>
          <w:bCs/>
        </w:rPr>
        <w:t xml:space="preserve">Multi-GPU Scaling Efficiency:</w:t>
      </w:r>
    </w:p>
    <w:p>
      <w:pPr>
        <w:pStyle w:val="ListParagraph"/>
        <w:numPr>
          <w:ilvl w:val="0"/>
          <w:numId w:val="2"/>
        </w:numPr>
      </w:pPr>
      <w:r>
        <w:t xml:space="preserve">Qiskit Aer GPU backend supports statevector distribution across multiple GPUs</w:t>
      </w:r>
    </w:p>
    <w:p>
      <w:pPr>
        <w:pStyle w:val="ListParagraph"/>
        <w:numPr>
          <w:ilvl w:val="0"/>
          <w:numId w:val="2"/>
        </w:numPr>
      </w:pPr>
      <w:r>
        <w:t xml:space="preserve">Scaling efficiency typically 75-85% for four GPUs with QAOA circuits</w:t>
      </w:r>
    </w:p>
    <w:p>
      <w:pPr>
        <w:pStyle w:val="ListParagraph"/>
        <w:numPr>
          <w:ilvl w:val="0"/>
          <w:numId w:val="2"/>
        </w:numPr>
      </w:pPr>
      <w:r>
        <w:t xml:space="preserve">GPU-GPU communication overhead increases with qubit count</w:t>
      </w:r>
    </w:p>
    <w:p>
      <w:pPr>
        <w:pStyle w:val="ListParagraph"/>
        <w:numPr>
          <w:ilvl w:val="0"/>
          <w:numId w:val="2"/>
        </w:numPr>
        <w:spacing w:after="180"/>
      </w:pPr>
      <w:r>
        <w:t xml:space="preserve">PCIe 5.0 bandwidth reduces synchronization bottlenecks compared to PCIe 4.0</w:t>
      </w:r>
    </w:p>
    <w:p>
      <w:pPr>
        <w:spacing w:after="120"/>
      </w:pPr>
      <w:r>
        <w:rPr>
          <w:b/>
          <w:bCs/>
        </w:rPr>
        <w:t xml:space="preserve">Memory Utilization Patterns:</w:t>
      </w:r>
    </w:p>
    <w:p>
      <w:pPr>
        <w:pStyle w:val="ListParagraph"/>
        <w:numPr>
          <w:ilvl w:val="0"/>
          <w:numId w:val="2"/>
        </w:numPr>
      </w:pPr>
      <w:r>
        <w:t xml:space="preserve">Statevector for n qubits requires 2^(n+4) bytes (e.g., 25 qubits = 512 MB)</w:t>
      </w:r>
    </w:p>
    <w:p>
      <w:pPr>
        <w:pStyle w:val="ListParagraph"/>
        <w:numPr>
          <w:ilvl w:val="0"/>
          <w:numId w:val="2"/>
        </w:numPr>
      </w:pPr>
      <w:r>
        <w:t xml:space="preserve">Additional memory needed for gradient calculations and optimization buffers</w:t>
      </w:r>
    </w:p>
    <w:p>
      <w:pPr>
        <w:pStyle w:val="ListParagraph"/>
        <w:numPr>
          <w:ilvl w:val="0"/>
          <w:numId w:val="2"/>
        </w:numPr>
      </w:pPr>
      <w:r>
        <w:t xml:space="preserve">Practical VRAM limits: 16 GB → 22-23 qubits, 24 GB → 24-25 qubits</w:t>
      </w:r>
    </w:p>
    <w:p>
      <w:pPr>
        <w:pStyle w:val="ListParagraph"/>
        <w:numPr>
          <w:ilvl w:val="0"/>
          <w:numId w:val="2"/>
        </w:numPr>
        <w:spacing w:after="180"/>
      </w:pPr>
      <w:r>
        <w:t xml:space="preserve">Memory bandwidth becomes primary bottleneck above 70% capacity utilization</w:t>
      </w:r>
    </w:p>
    <w:p>
      <w:pPr>
        <w:pStyle w:val="Heading2"/>
        <w:spacing w:before="360"/>
      </w:pPr>
      <w:r>
        <w:t xml:space="preserve">Conclusion</w:t>
      </w:r>
    </w:p>
    <w:p>
      <w:r>
        <w:t xml:space="preserve">For quantum circuit simulation using Qiskit Aer GPU on the TRX50 platform, the RTX 5070 Ti offers the best overall value proposition. It provides sufficient VRAM for meaningful quantum simulation work (22-qubit circuits), respectable memory bandwidth, and manageable thermal characteristics in a four-GPU configuration. Researchers requiring maximum performance should consider the RTX 4090 despite its substantially higher cost and infrastructure demands. The RTX 3090 remains viable for budget-conscious builds prioritizing maximum VRAM, though careful attention to cooling is essential. The RTX 5070 and 5060 Ti are best suited for development environments or smaller-scale research rather than production simulation workloads.</w:t>
      </w:r>
    </w:p>
    <w:p>
      <w:pPr>
        <w:spacing w:before="240"/>
      </w:pPr>
      <w:r>
        <w:t xml:space="preserve">The choice ultimately depends on the specific balance between performance requirements, budget constraints, and infrastructure capabilities. All configurations benefit significantly from the TRX50 platform's PCIe 5.0 connectivity and abundant CPU lanes, which eliminate traditional multi-GPU bottlenecks.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2026-03-17T14:06:18.328Z</dcterms:created>
  <dcterms:modified xsi:type="dcterms:W3CDTF">2026-03-17T14:06:18.329Z</dcterms:modified>
</cp:coreProperties>
</file>

<file path=docProps/custom.xml><?xml version="1.0" encoding="utf-8"?>
<Properties xmlns="http://schemas.openxmlformats.org/officeDocument/2006/custom-properties" xmlns:vt="http://schemas.openxmlformats.org/officeDocument/2006/docPropsVTypes"/>
</file>