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8973A"/>
          <w:sz w:val="52"/>
        </w:rPr>
        <w:t>ETIB Interpreter Self-Training Platform</w:t>
      </w:r>
    </w:p>
    <w:p>
      <w:pPr>
        <w:jc w:val="center"/>
      </w:pPr>
      <w:r>
        <w:rPr>
          <w:color w:val="222222"/>
          <w:sz w:val="32"/>
        </w:rPr>
        <w:t>Technology Stack Report</w:t>
      </w:r>
    </w:p>
    <w:p/>
    <w:p>
      <w:pPr>
        <w:jc w:val="center"/>
      </w:pPr>
      <w:r>
        <w:t>This report documents every major technology and library used in the project: what it is used for, and — where applicable — what was tried earlier and replaced, with the reasoning behind each change.</w:t>
      </w:r>
    </w:p>
    <w:p>
      <w:r>
        <w:br w:type="page"/>
      </w:r>
    </w:p>
    <w:p>
      <w:pPr>
        <w:pStyle w:val="Heading1"/>
      </w:pPr>
      <w:r>
        <w:t>1. Architecture Overview</w:t>
      </w:r>
    </w:p>
    <w:tbl>
      <w:tblPr>
        <w:tblStyle w:val="LightGrid-Accent4"/>
        <w:tblW w:type="auto" w:w="0"/>
        <w:jc w:val="center"/>
        <w:tblLook w:firstColumn="1" w:firstRow="1" w:lastColumn="0" w:lastRow="0" w:noHBand="0" w:noVBand="1" w:val="04A0"/>
      </w:tblPr>
      <w:tblGrid>
        <w:gridCol w:w="4320"/>
        <w:gridCol w:w="4320"/>
      </w:tblGrid>
      <w:tr>
        <w:tc>
          <w:tcPr>
            <w:tcW w:type="dxa" w:w="2835"/>
            <w:shd w:fill="C8973A"/>
          </w:tcPr>
          <w:p>
            <w:r/>
            <w:r>
              <w:rPr>
                <w:b/>
                <w:color w:val="FFFFFF"/>
              </w:rPr>
              <w:t>Layer</w:t>
            </w:r>
          </w:p>
        </w:tc>
        <w:tc>
          <w:tcPr>
            <w:tcW w:type="dxa" w:w="6236"/>
            <w:shd w:fill="C8973A"/>
          </w:tcPr>
          <w:p>
            <w:r/>
            <w:r>
              <w:rPr>
                <w:b/>
                <w:color w:val="FFFFFF"/>
              </w:rPr>
              <w:t>Technology</w:t>
            </w:r>
          </w:p>
        </w:tc>
      </w:tr>
      <w:tr>
        <w:tc>
          <w:tcPr>
            <w:tcW w:type="dxa" w:w="2835"/>
          </w:tcPr>
          <w:p>
            <w:r>
              <w:t>Frontend</w:t>
            </w:r>
          </w:p>
        </w:tc>
        <w:tc>
          <w:tcPr>
            <w:tcW w:type="dxa" w:w="6236"/>
          </w:tcPr>
          <w:p>
            <w:r>
              <w:t>React 19 (Vite 7) — single-page application</w:t>
            </w:r>
          </w:p>
        </w:tc>
      </w:tr>
      <w:tr>
        <w:tc>
          <w:tcPr>
            <w:tcW w:type="dxa" w:w="2835"/>
          </w:tcPr>
          <w:p>
            <w:r>
              <w:t>Backend</w:t>
            </w:r>
          </w:p>
        </w:tc>
        <w:tc>
          <w:tcPr>
            <w:tcW w:type="dxa" w:w="6236"/>
          </w:tcPr>
          <w:p>
            <w:r>
              <w:t>Flask 3 (Python), modular blueprints</w:t>
            </w:r>
          </w:p>
        </w:tc>
      </w:tr>
      <w:tr>
        <w:tc>
          <w:tcPr>
            <w:tcW w:type="dxa" w:w="2835"/>
          </w:tcPr>
          <w:p>
            <w:r>
              <w:t>Database</w:t>
            </w:r>
          </w:p>
        </w:tc>
        <w:tc>
          <w:tcPr>
            <w:tcW w:type="dxa" w:w="6236"/>
          </w:tcPr>
          <w:p>
            <w:r>
              <w:t>MongoDB (via PyMongo)</w:t>
            </w:r>
          </w:p>
        </w:tc>
      </w:tr>
      <w:tr>
        <w:tc>
          <w:tcPr>
            <w:tcW w:type="dxa" w:w="2835"/>
          </w:tcPr>
          <w:p>
            <w:r>
              <w:t>LLM (text generation)</w:t>
            </w:r>
          </w:p>
        </w:tc>
        <w:tc>
          <w:tcPr>
            <w:tcW w:type="dxa" w:w="6236"/>
          </w:tcPr>
          <w:p>
            <w:r>
              <w:t>Groq API (cloud, free tier) — Llama 3.3 70B</w:t>
            </w:r>
          </w:p>
        </w:tc>
      </w:tr>
      <w:tr>
        <w:tc>
          <w:tcPr>
            <w:tcW w:type="dxa" w:w="2835"/>
          </w:tcPr>
          <w:p>
            <w:r>
              <w:t>TTS (text-to-speech)</w:t>
            </w:r>
          </w:p>
        </w:tc>
        <w:tc>
          <w:tcPr>
            <w:tcW w:type="dxa" w:w="6236"/>
          </w:tcPr>
          <w:p>
            <w:r>
              <w:t>Microsoft Edge TTS (edge-tts)</w:t>
            </w:r>
          </w:p>
        </w:tc>
      </w:tr>
      <w:tr>
        <w:tc>
          <w:tcPr>
            <w:tcW w:type="dxa" w:w="2835"/>
          </w:tcPr>
          <w:p>
            <w:r>
              <w:t>ASR (speech-to-text)</w:t>
            </w:r>
          </w:p>
        </w:tc>
        <w:tc>
          <w:tcPr>
            <w:tcW w:type="dxa" w:w="6236"/>
          </w:tcPr>
          <w:p>
            <w:r>
              <w:t>faster-whisper (local, CPU)</w:t>
            </w:r>
          </w:p>
        </w:tc>
      </w:tr>
      <w:tr>
        <w:tc>
          <w:tcPr>
            <w:tcW w:type="dxa" w:w="2835"/>
          </w:tcPr>
          <w:p>
            <w:r>
              <w:t>Forced alignment</w:t>
            </w:r>
          </w:p>
        </w:tc>
        <w:tc>
          <w:tcPr>
            <w:tcW w:type="dxa" w:w="6236"/>
          </w:tcPr>
          <w:p>
            <w:r>
              <w:t>WhisperX</w:t>
            </w:r>
          </w:p>
        </w:tc>
      </w:tr>
      <w:tr>
        <w:tc>
          <w:tcPr>
            <w:tcW w:type="dxa" w:w="2835"/>
          </w:tcPr>
          <w:p>
            <w:r>
              <w:t>External corpus</w:t>
            </w:r>
          </w:p>
        </w:tc>
        <w:tc>
          <w:tcPr>
            <w:tcW w:type="dxa" w:w="6236"/>
          </w:tcPr>
          <w:p>
            <w:r>
              <w:t>UN Digital Library (digitallibrary.un.org)</w:t>
            </w:r>
          </w:p>
        </w:tc>
      </w:tr>
    </w:tbl>
    <w:p/>
    <w:p>
      <w:pPr>
        <w:pStyle w:val="Heading1"/>
      </w:pPr>
      <w:r>
        <w:t>2. LLM Provider (Generation, MCQs, Glossary, Evaluation)</w:t>
      </w:r>
    </w:p>
    <w:p>
      <w:pPr>
        <w:pStyle w:val="Heading2"/>
      </w:pPr>
      <w:r>
        <w:t>Currently used: Groq API</w:t>
      </w:r>
    </w:p>
    <w:p>
      <w:pPr>
        <w:pStyle w:val="ListBullet"/>
      </w:pPr>
      <w:r>
        <w:t>Model: llama-3.3-70b-versatile — free, fast cloud inference, called from backend/services/llm_service.py.</w:t>
      </w:r>
    </w:p>
    <w:p>
      <w:pPr>
        <w:pStyle w:val="ListBullet"/>
      </w:pPr>
      <w:r>
        <w:t>The Groq SDK is imported lazily (only inside the function that needs it) to avoid a dependency conflict with httpx versions used by other libraries.</w:t>
      </w:r>
    </w:p>
    <w:p>
      <w:pPr>
        <w:pStyle w:val="ListBullet"/>
      </w:pPr>
      <w:r>
        <w:t>A strict post-processing filter (_clean_arabic_script) removes any non-Arabic characters (Latin, Chinese, Cyrillic, etc.) from the speech script, MCQ questions/options/answers, and glossary — because the model occasionally mixes languages in Arabic output.</w:t>
      </w:r>
    </w:p>
    <w:p>
      <w:pPr>
        <w:pStyle w:val="Heading2"/>
      </w:pPr>
      <w:r>
        <w:t>Alternatives tried and dropped</w:t>
      </w:r>
    </w:p>
    <w:tbl>
      <w:tblPr>
        <w:tblStyle w:val="LightGrid-Accent4"/>
        <w:tblW w:type="auto" w:w="0"/>
        <w:jc w:val="center"/>
        <w:tblLook w:firstColumn="1" w:firstRow="1" w:lastColumn="0" w:lastRow="0" w:noHBand="0" w:noVBand="1" w:val="04A0"/>
      </w:tblPr>
      <w:tblGrid>
        <w:gridCol w:w="2880"/>
        <w:gridCol w:w="2880"/>
        <w:gridCol w:w="2880"/>
      </w:tblGrid>
      <w:tr>
        <w:tc>
          <w:tcPr>
            <w:tcW w:type="dxa" w:w="2551"/>
            <w:shd w:fill="C8973A"/>
          </w:tcPr>
          <w:p>
            <w:r/>
            <w:r>
              <w:rPr>
                <w:b/>
                <w:color w:val="FFFFFF"/>
              </w:rPr>
              <w:t>Provider</w:t>
            </w:r>
          </w:p>
        </w:tc>
        <w:tc>
          <w:tcPr>
            <w:tcW w:type="dxa" w:w="1984"/>
            <w:shd w:fill="C8973A"/>
          </w:tcPr>
          <w:p>
            <w:r/>
            <w:r>
              <w:rPr>
                <w:b/>
                <w:color w:val="FFFFFF"/>
              </w:rPr>
              <w:t>Status</w:t>
            </w:r>
          </w:p>
        </w:tc>
        <w:tc>
          <w:tcPr>
            <w:tcW w:type="dxa" w:w="4535"/>
            <w:shd w:fill="C8973A"/>
          </w:tcPr>
          <w:p>
            <w:r/>
            <w:r>
              <w:rPr>
                <w:b/>
                <w:color w:val="FFFFFF"/>
              </w:rPr>
              <w:t>Reason dropped</w:t>
            </w:r>
          </w:p>
        </w:tc>
      </w:tr>
      <w:tr>
        <w:tc>
          <w:tcPr>
            <w:tcW w:type="dxa" w:w="2551"/>
          </w:tcPr>
          <w:p>
            <w:r>
              <w:t>Local Aya-Expanse-8B</w:t>
              <w:br/>
              <w:t>(transformers / torch)</w:t>
            </w:r>
          </w:p>
        </w:tc>
        <w:tc>
          <w:tcPr>
            <w:tcW w:type="dxa" w:w="1984"/>
          </w:tcPr>
          <w:p>
            <w:r>
              <w:t>Tried</w:t>
            </w:r>
          </w:p>
        </w:tc>
        <w:tc>
          <w:tcPr>
            <w:tcW w:type="dxa" w:w="4535"/>
          </w:tcPr>
          <w:p>
            <w:r>
              <w:t>Mixed multiple languages in the same Arabic response; too slow on CPU; large local download (~16GB)</w:t>
            </w:r>
          </w:p>
        </w:tc>
      </w:tr>
      <w:tr>
        <w:tc>
          <w:tcPr>
            <w:tcW w:type="dxa" w:w="2551"/>
          </w:tcPr>
          <w:p>
            <w:r>
              <w:t>Google Gemini</w:t>
              <w:br/>
              <w:t>(gemini-1.5-flash, raw REST)</w:t>
            </w:r>
          </w:p>
        </w:tc>
        <w:tc>
          <w:tcPr>
            <w:tcW w:type="dxa" w:w="1984"/>
          </w:tcPr>
          <w:p>
            <w:r>
              <w:t>Tried</w:t>
            </w:r>
          </w:p>
        </w:tc>
        <w:tc>
          <w:tcPr>
            <w:tcW w:type="dxa" w:w="4535"/>
          </w:tcPr>
          <w:p>
            <w:r>
              <w:t>404 "model not found" on v1/v1beta endpoints, systemInstruction field incompatibilities, httpx/google-genai SDK conflicts (proxies kwarg removed in httpx &gt;= 0.28)</w:t>
            </w:r>
          </w:p>
        </w:tc>
      </w:tr>
      <w:tr>
        <w:tc>
          <w:tcPr>
            <w:tcW w:type="dxa" w:w="2551"/>
          </w:tcPr>
          <w:p>
            <w:r>
              <w:t>OpenAI</w:t>
            </w:r>
          </w:p>
        </w:tc>
        <w:tc>
          <w:tcPr>
            <w:tcW w:type="dxa" w:w="1984"/>
          </w:tcPr>
          <w:p>
            <w:r>
              <w:t>Reserved as paid fallback only</w:t>
            </w:r>
          </w:p>
        </w:tc>
        <w:tc>
          <w:tcPr>
            <w:tcW w:type="dxa" w:w="4535"/>
          </w:tcPr>
          <w:p>
            <w:r>
              <w:t>Not used — kept as a config placeholder</w:t>
            </w:r>
          </w:p>
        </w:tc>
      </w:tr>
    </w:tbl>
    <w:p/>
    <w:p>
      <w:r>
        <w:t>The provider is selected via LLM_PROVIDER in backend/.env (groq | local_aya | remote_aya | gemini); code paths for the alternatives remain in llm_service.py for future switching, but Groq is the active configuration.</w:t>
      </w:r>
    </w:p>
    <w:p>
      <w:pPr>
        <w:pStyle w:val="Heading1"/>
      </w:pPr>
      <w:r>
        <w:t>3. Speech Generation Prompt Design (Module A)</w:t>
      </w:r>
    </w:p>
    <w:p>
      <w:r>
        <w:t>Currently used: a custom "ETIB conference speechwriter" system prompt (build_structured_material_prompt in module_a.py) that:</w:t>
      </w:r>
    </w:p>
    <w:p>
      <w:pPr>
        <w:pStyle w:val="ListBullet"/>
      </w:pPr>
      <w:r>
        <w:t>Defines difficulty profiles (beginner / intermediate / advanced) controlling vocabulary, sentence complexity, and number density.</w:t>
      </w:r>
    </w:p>
    <w:p>
      <w:pPr>
        <w:pStyle w:val="ListBullet"/>
      </w:pPr>
      <w:r>
        <w:t>Enforces UN/diplomatic conference protocol openings.</w:t>
      </w:r>
    </w:p>
    <w:p>
      <w:pPr>
        <w:pStyle w:val="ListBullet"/>
      </w:pPr>
      <w:r>
        <w:t>Requests a single structured JSON output: title, difficulty, estimated_duration_minutes, script, key_terms, summary, mcqs (analytical multiple-choice questions), and glossary.</w:t>
      </w:r>
    </w:p>
    <w:p>
      <w:pPr>
        <w:pStyle w:val="ListBullet"/>
      </w:pPr>
      <w:r>
        <w:t>Includes a self-evaluation checklist instructing the model to review its own output for language purity (Arabic-only) and topical relevance before returning it.</w:t>
      </w:r>
    </w:p>
    <w:p>
      <w:r>
        <w:t>This replaced an earlier, simpler "generate N words about topic X" prompt that produced shallow MCQs (e.g. "What is the topic about?") and inconsistent word counts.</w:t>
      </w:r>
    </w:p>
    <w:p>
      <w:pPr>
        <w:pStyle w:val="Heading1"/>
      </w:pPr>
      <w:r>
        <w:t>4. Document Grounding / RAG (Real Source Material)</w:t>
      </w:r>
    </w:p>
    <w:p>
      <w:r>
        <w:t>Currently used: UN Digital Library (backend/modules/module_library.py), the official UN document repository — chosen as the single source per project requirements (no mixing of multiple external sites).</w:t>
      </w:r>
    </w:p>
    <w:p>
      <w:pPr>
        <w:pStyle w:val="ListBullet"/>
      </w:pPr>
      <w:r>
        <w:t>Search: GET /api/library/search queries digitallibrary.un.org/search in two formats — of=xm (MARCXML, for title/date/language/abstract) and of=recjson (for downloadable file links) — and merges them.</w:t>
      </w:r>
    </w:p>
    <w:p>
      <w:pPr>
        <w:pStyle w:val="ListBullet"/>
      </w:pPr>
      <w:r>
        <w:t>Fetch: POST /api/library/fetch downloads the matching-language PDF and extracts text with pdfplumber (max 8 pages / 10 MB).</w:t>
      </w:r>
    </w:p>
    <w:p>
      <w:pPr>
        <w:pStyle w:val="ListBullet"/>
      </w:pPr>
      <w:r>
        <w:t>Quality guard: _looks_like_arabic() rejects PDFs whose Arabic text was mangled by old custom PDF font encodings (returns HTTP 422 instead of passing garbage text to the LLM).</w:t>
      </w:r>
    </w:p>
    <w:p>
      <w:pPr>
        <w:pStyle w:val="ListBullet"/>
      </w:pPr>
      <w:r>
        <w:t>Caching: extracted speeches are cached in MongoDB (library_speeches collection) so repeated fetches do not hit the UN servers again.</w:t>
      </w:r>
    </w:p>
    <w:p>
      <w:pPr>
        <w:pStyle w:val="ListBullet"/>
      </w:pPr>
      <w:r>
        <w:t>The retrieved text is then fed to Module A's /from-document endpoint as grounding material for generation.</w:t>
      </w:r>
    </w:p>
    <w:p>
      <w:pPr>
        <w:pStyle w:val="Heading2"/>
      </w:pPr>
      <w:r>
        <w:t>Important implementation detail</w:t>
      </w:r>
    </w:p>
    <w:p>
      <w:r>
        <w:t>digitallibrary.un.org sits behind an AWS WAF that silently blocks python-requests (returns empty HTTP 202 "challenge" responses) but allows the system curl binary through. All UN Digital Library HTTP calls are therefore made via subprocess calls to curl, not via the requests library.</w:t>
      </w:r>
    </w:p>
    <w:p>
      <w:pPr>
        <w:pStyle w:val="Heading2"/>
      </w:pPr>
      <w:r>
        <w:t>What was tried and dropped</w:t>
      </w:r>
    </w:p>
    <w:p>
      <w:pPr>
        <w:pStyle w:val="ListBullet"/>
      </w:pPr>
      <w:r>
        <w:t>An earlier attempt queried a non-existent /api/search REST endpoint with guessed Invenio-3/Elasticsearch-style parameters (q, of=json, action_search, c=Speeches collection filter) — this returned 0 results because that endpoint does not exist on this instance, and the c=Speeches collection contains only metadata records with no attached files/titles.</w:t>
      </w:r>
    </w:p>
    <w:p>
      <w:pPr>
        <w:pStyle w:val="Heading1"/>
      </w:pPr>
      <w:r>
        <w:t>5. Text-to-Speech (Module B — Audio &amp; Materials)</w:t>
      </w:r>
    </w:p>
    <w:p>
      <w:r>
        <w:t>Currently used: edge-tts (Microsoft Edge's online neural TTS, free).</w:t>
      </w:r>
    </w:p>
    <w:p>
      <w:pPr>
        <w:pStyle w:val="ListBullet"/>
      </w:pPr>
      <w:r>
        <w:t>Voices configured per language/region in backend/config.py (TTS_VOICES): Lebanese, Gulf, Egyptian Arabic; French (France/Canada); English (US/UK/Australia).</w:t>
      </w:r>
    </w:p>
    <w:p>
      <w:pPr>
        <w:pStyle w:val="ListBullet"/>
      </w:pPr>
      <w:r>
        <w:t>Default voices chosen per cahier des charges (Lebanese Arabic as primary, matching ETIB students' target dialect).</w:t>
      </w:r>
    </w:p>
    <w:p>
      <w:pPr>
        <w:pStyle w:val="ListBullet"/>
      </w:pPr>
      <w:r>
        <w:t>User-adjustable speech rate (+/- 30%) in the UI.</w:t>
      </w:r>
    </w:p>
    <w:p>
      <w:r>
        <w:t>No alternative TTS engines were evaluated in code — edge-tts was the original and remains the only TTS backend.</w:t>
      </w:r>
    </w:p>
    <w:p>
      <w:pPr>
        <w:pStyle w:val="Heading1"/>
      </w:pPr>
      <w:r>
        <w:t>6. Automatic Speech Recognition (Module C — Transcription)</w:t>
      </w:r>
    </w:p>
    <w:p>
      <w:r>
        <w:t>Currently used: faster-whisper, model size "medium", run locally on CPU with int8 quantization (backend/config.py: WHISPER_MODEL_SIZE / WHISPER_DEVICE / WHISPER_COMPUTE_TYPE).</w:t>
      </w:r>
    </w:p>
    <w:p>
      <w:pPr>
        <w:pStyle w:val="ListBullet"/>
      </w:pPr>
      <w:r>
        <w:t>Word-level timestamps and per-word confidence scores are returned for the pronunciation/hesitation analysis in Module D.</w:t>
      </w:r>
    </w:p>
    <w:p>
      <w:pPr>
        <w:pStyle w:val="ListBullet"/>
      </w:pPr>
      <w:r>
        <w:t>Transcription parameters were tuned to stop "correcting" the speaker: vad_filter=False, condition_on_previous_text=False, temperature=0.0, beam_size=1, compression_ratio_threshold=100.0, log_prob_threshold=-100.0, suppress_tokens=[].</w:t>
      </w:r>
    </w:p>
    <w:p>
      <w:pPr>
        <w:pStyle w:val="ListBullet"/>
      </w:pPr>
      <w:r>
        <w:t>This was necessary because Whisper's defaults silently collapse repeated words ("the the the" -&gt; "the") and drop silences — both are exactly the errors interpreters need to be evaluated on.</w:t>
      </w:r>
    </w:p>
    <w:p>
      <w:pPr>
        <w:pStyle w:val="Heading1"/>
      </w:pPr>
      <w:r>
        <w:t>7. Evaluation Engine (Module D)</w:t>
      </w:r>
    </w:p>
    <w:p>
      <w:r>
        <w:t>Currently used — a hybrid of:</w:t>
      </w:r>
    </w:p>
    <w:p>
      <w:pPr>
        <w:pStyle w:val="ListBullet"/>
      </w:pPr>
      <w:r>
        <w:t>Algorithmic detection (deterministic, no LLM): silence gaps (SILENCE_THRESHOLD_MS = 500ms), repeated words, hesitation markers, and numerical mismatches — computed directly from faster-whisper's word-level timestamps (same tuned ASR settings, run again in module_d.full_evaluation() for the recorded interpretation).</w:t>
      </w:r>
    </w:p>
    <w:p>
      <w:pPr>
        <w:pStyle w:val="ListBullet"/>
      </w:pPr>
      <w:r>
        <w:t>LLM-based qualitative feedback — Groq (llama-3.3-70b-versatile), producing a score, strengths, and a written summary comparing the source script to the transcript.</w:t>
      </w:r>
    </w:p>
    <w:p>
      <w:pPr>
        <w:pStyle w:val="ListBullet"/>
      </w:pPr>
      <w:r>
        <w:t>Pronunciation/alignment (alignment.py, WhisperX) — forced alignment between audio and transcript for word-level pronunciation confidence.</w:t>
      </w:r>
    </w:p>
    <w:p>
      <w:pPr>
        <w:pStyle w:val="Heading2"/>
      </w:pPr>
      <w:r>
        <w:t>Bug fixed</w:t>
      </w:r>
    </w:p>
    <w:p>
      <w:r>
        <w:t>The feedback prompt previously failed because it was called with a language= kwarg while the prompt template expected source_language=/target_language=; this silently produced empty/incorrect feedback. Fixed to map language codes (ar/fr/en -&gt; Arabic/French/English) into the correct template variables.</w:t>
      </w:r>
    </w:p>
    <w:p>
      <w:pPr>
        <w:pStyle w:val="Heading1"/>
      </w:pPr>
      <w:r>
        <w:t>8. Database</w:t>
      </w:r>
    </w:p>
    <w:p>
      <w:r>
        <w:t>Currently used: MongoDB (via pymongo), connection configured through MONGODB_URI / MONGODB_DB in config.py. Used for:</w:t>
      </w:r>
    </w:p>
    <w:p>
      <w:pPr>
        <w:pStyle w:val="ListBullet"/>
      </w:pPr>
      <w:r>
        <w:t>Caching fetched UN Digital Library speeches (library_speeches collection).</w:t>
      </w:r>
    </w:p>
    <w:p>
      <w:pPr>
        <w:pStyle w:val="ListBullet"/>
      </w:pPr>
      <w:r>
        <w:t>User accounts (auth module).</w:t>
      </w:r>
    </w:p>
    <w:p>
      <w:r>
        <w:t>flask-sqlalchemy is present in requirements.txt but not actively used — left over from earlier scaffolding.</w:t>
      </w:r>
    </w:p>
    <w:p>
      <w:pPr>
        <w:pStyle w:val="Heading1"/>
      </w:pPr>
      <w:r>
        <w:t>9. Frontend</w:t>
      </w:r>
    </w:p>
    <w:p>
      <w:pPr>
        <w:pStyle w:val="Heading2"/>
      </w:pPr>
      <w:r>
        <w:t>Currently used</w:t>
      </w:r>
    </w:p>
    <w:p>
      <w:pPr>
        <w:pStyle w:val="ListBullet"/>
      </w:pPr>
      <w:r>
        <w:t>React 19 + Vite 7 — dev server on 127.0.0.1:5174.</w:t>
      </w:r>
    </w:p>
    <w:p>
      <w:pPr>
        <w:pStyle w:val="ListBullet"/>
      </w:pPr>
      <w:r>
        <w:t>Plain CSS (Frontend/styles/main.css) — no CSS framework (Tailwind/MUI etc.).</w:t>
      </w:r>
    </w:p>
    <w:p>
      <w:pPr>
        <w:pStyle w:val="ListBullet"/>
      </w:pPr>
      <w:r>
        <w:t>three (Three.js) — present in dependencies (visual/background effect).</w:t>
      </w:r>
    </w:p>
    <w:p>
      <w:pPr>
        <w:pStyle w:val="ListBullet"/>
      </w:pPr>
      <w:r>
        <w:t>Centralized API client (Frontend/src/api.js) — all backend calls go through typed helper functions, no raw fetch() scattered across components.</w:t>
      </w:r>
    </w:p>
    <w:p>
      <w:pPr>
        <w:pStyle w:val="Heading2"/>
      </w:pPr>
      <w:r>
        <w:t>Recent UI changes</w:t>
      </w:r>
    </w:p>
    <w:p>
      <w:pPr>
        <w:pStyle w:val="ListBullet"/>
      </w:pPr>
      <w:r>
        <w:t>Module A now shows only the generated script (summary/MCQs/glossary moved to Module B).</w:t>
      </w:r>
    </w:p>
    <w:p>
      <w:pPr>
        <w:pStyle w:val="ListBullet"/>
      </w:pPr>
      <w:r>
        <w:t>Module B redesigned: auto-loads summary, MCQ table, and glossary table from the same generation result (no extra API call); key terms remain on-demand; resets only when a new speech is generated.</w:t>
      </w:r>
    </w:p>
    <w:p>
      <w:pPr>
        <w:pStyle w:val="ListBullet"/>
      </w:pPr>
      <w:r>
        <w:t>New UNLibraryPanel component (search UN Digital Library, preview results, fetch and use as grounding text for Module A).</w:t>
      </w:r>
    </w:p>
    <w:p>
      <w:pPr>
        <w:pStyle w:val="ListBullet"/>
      </w:pPr>
      <w:r>
        <w:t>Module D evaluation re-uses the recorded audio blob (re-transcribed server-side with full word-level data) instead of relying only on the earlier transcript.</w:t>
      </w:r>
    </w:p>
    <w:p>
      <w:pPr>
        <w:pStyle w:val="Heading1"/>
      </w:pPr>
      <w:r>
        <w:t>10. Backend Infrastructure / Glue</w:t>
      </w:r>
    </w:p>
    <w:p>
      <w:pPr>
        <w:pStyle w:val="ListBullet"/>
      </w:pPr>
      <w:r>
        <w:t>Flask-CORS — allows the Vite dev server origins (5173/5174).</w:t>
      </w:r>
    </w:p>
    <w:p>
      <w:pPr>
        <w:pStyle w:val="ListBullet"/>
      </w:pPr>
      <w:r>
        <w:t>python-dotenv — loads backend/.env; app.py calls load_dotenv(override=True) before importing config, fixing a bug where stale environment variables (e.g. wrong LLM_PROVIDER/API keys) were baked in at import time.</w:t>
      </w:r>
    </w:p>
    <w:p>
      <w:pPr>
        <w:pStyle w:val="ListBullet"/>
      </w:pPr>
      <w:r>
        <w:t>Global JSON error handler (@app.errorhandler(Exception)) — ensures all unhandled exceptions return JSON with CORS headers instead of breaking the frontend with a CORS error on a 500.</w:t>
      </w:r>
    </w:p>
    <w:p>
      <w:r>
        <w:br w:type="page"/>
      </w:r>
    </w:p>
    <w:p>
      <w:pPr>
        <w:pStyle w:val="Heading1"/>
      </w:pPr>
      <w:r>
        <w:t>11. Summary — What We Used vs. What We Use Now</w:t>
      </w:r>
    </w:p>
    <w:tbl>
      <w:tblPr>
        <w:tblStyle w:val="LightGrid-Accent4"/>
        <w:tblW w:type="auto" w:w="0"/>
        <w:jc w:val="center"/>
        <w:tblLook w:firstColumn="1" w:firstRow="1" w:lastColumn="0" w:lastRow="0" w:noHBand="0" w:noVBand="1" w:val="04A0"/>
      </w:tblPr>
      <w:tblGrid>
        <w:gridCol w:w="2880"/>
        <w:gridCol w:w="2880"/>
        <w:gridCol w:w="2880"/>
      </w:tblGrid>
      <w:tr>
        <w:tc>
          <w:tcPr>
            <w:tcW w:type="dxa" w:w="2268"/>
            <w:shd w:fill="C8973A"/>
          </w:tcPr>
          <w:p>
            <w:r/>
            <w:r>
              <w:rPr>
                <w:b/>
                <w:color w:val="FFFFFF"/>
              </w:rPr>
              <w:t>Component</w:t>
            </w:r>
          </w:p>
        </w:tc>
        <w:tc>
          <w:tcPr>
            <w:tcW w:type="dxa" w:w="3402"/>
            <w:shd w:fill="C8973A"/>
          </w:tcPr>
          <w:p>
            <w:r/>
            <w:r>
              <w:rPr>
                <w:b/>
                <w:color w:val="FFFFFF"/>
              </w:rPr>
              <w:t>Originally tried</w:t>
            </w:r>
          </w:p>
        </w:tc>
        <w:tc>
          <w:tcPr>
            <w:tcW w:type="dxa" w:w="3402"/>
            <w:shd w:fill="C8973A"/>
          </w:tcPr>
          <w:p>
            <w:r/>
            <w:r>
              <w:rPr>
                <w:b/>
                <w:color w:val="FFFFFF"/>
              </w:rPr>
              <w:t>Currently in production</w:t>
            </w:r>
          </w:p>
        </w:tc>
      </w:tr>
      <w:tr>
        <w:tc>
          <w:tcPr>
            <w:tcW w:type="dxa" w:w="2268"/>
          </w:tcPr>
          <w:p>
            <w:r>
              <w:t>LLM</w:t>
            </w:r>
          </w:p>
        </w:tc>
        <w:tc>
          <w:tcPr>
            <w:tcW w:type="dxa" w:w="3402"/>
          </w:tcPr>
          <w:p>
            <w:r>
              <w:t>Local Aya-8B -&gt; Gemini (REST)</w:t>
            </w:r>
          </w:p>
        </w:tc>
        <w:tc>
          <w:tcPr>
            <w:tcW w:type="dxa" w:w="3402"/>
          </w:tcPr>
          <w:p>
            <w:r>
              <w:t>Groq (Llama 3.3 70B)</w:t>
            </w:r>
          </w:p>
        </w:tc>
      </w:tr>
      <w:tr>
        <w:tc>
          <w:tcPr>
            <w:tcW w:type="dxa" w:w="2268"/>
          </w:tcPr>
          <w:p>
            <w:r>
              <w:t>Document source</w:t>
            </w:r>
          </w:p>
        </w:tc>
        <w:tc>
          <w:tcPr>
            <w:tcW w:type="dxa" w:w="3402"/>
          </w:tcPr>
          <w:p>
            <w:r>
              <w:t>(multi-source idea discussed)</w:t>
            </w:r>
          </w:p>
        </w:tc>
        <w:tc>
          <w:tcPr>
            <w:tcW w:type="dxa" w:w="3402"/>
          </w:tcPr>
          <w:p>
            <w:r>
              <w:t>UN Digital Library only (curl-based, WAF workaround)</w:t>
            </w:r>
          </w:p>
        </w:tc>
      </w:tr>
      <w:tr>
        <w:tc>
          <w:tcPr>
            <w:tcW w:type="dxa" w:w="2268"/>
          </w:tcPr>
          <w:p>
            <w:r>
              <w:t>HTTP client for UN Library</w:t>
            </w:r>
          </w:p>
        </w:tc>
        <w:tc>
          <w:tcPr>
            <w:tcW w:type="dxa" w:w="3402"/>
          </w:tcPr>
          <w:p>
            <w:r>
              <w:t>requests</w:t>
            </w:r>
          </w:p>
        </w:tc>
        <w:tc>
          <w:tcPr>
            <w:tcW w:type="dxa" w:w="3402"/>
          </w:tcPr>
          <w:p>
            <w:r>
              <w:t>curl via subprocess (requests blocked by AWS WAF)</w:t>
            </w:r>
          </w:p>
        </w:tc>
      </w:tr>
      <w:tr>
        <w:tc>
          <w:tcPr>
            <w:tcW w:type="dxa" w:w="2268"/>
          </w:tcPr>
          <w:p>
            <w:r>
              <w:t>ASR tuning</w:t>
            </w:r>
          </w:p>
        </w:tc>
        <w:tc>
          <w:tcPr>
            <w:tcW w:type="dxa" w:w="3402"/>
          </w:tcPr>
          <w:p>
            <w:r>
              <w:t>Whisper defaults (auto-corrects repetitions/silences)</w:t>
            </w:r>
          </w:p>
        </w:tc>
        <w:tc>
          <w:tcPr>
            <w:tcW w:type="dxa" w:w="3402"/>
          </w:tcPr>
          <w:p>
            <w:r>
              <w:t>Tuned faster-whisper (preserves repetitions/hesitations/silences)</w:t>
            </w:r>
          </w:p>
        </w:tc>
      </w:tr>
      <w:tr>
        <w:tc>
          <w:tcPr>
            <w:tcW w:type="dxa" w:w="2268"/>
          </w:tcPr>
          <w:p>
            <w:r>
              <w:t>Module A output</w:t>
            </w:r>
          </w:p>
        </w:tc>
        <w:tc>
          <w:tcPr>
            <w:tcW w:type="dxa" w:w="3402"/>
          </w:tcPr>
          <w:p>
            <w:r>
              <w:t>Script + summary + glossary inline, generic MCQs</w:t>
            </w:r>
          </w:p>
        </w:tc>
        <w:tc>
          <w:tcPr>
            <w:tcW w:type="dxa" w:w="3402"/>
          </w:tcPr>
          <w:p>
            <w:r>
              <w:t>Script only; analytical MCQs/summary/glossary moved to Module B</w:t>
            </w:r>
          </w:p>
        </w:tc>
      </w:tr>
      <w:tr>
        <w:tc>
          <w:tcPr>
            <w:tcW w:type="dxa" w:w="2268"/>
          </w:tcPr>
          <w:p>
            <w:r>
              <w:t>Evaluation feedback prompt</w:t>
            </w:r>
          </w:p>
        </w:tc>
        <w:tc>
          <w:tcPr>
            <w:tcW w:type="dxa" w:w="3402"/>
          </w:tcPr>
          <w:p>
            <w:r>
              <w:t>Broken kwarg (language=)</w:t>
            </w:r>
          </w:p>
        </w:tc>
        <w:tc>
          <w:tcPr>
            <w:tcW w:type="dxa" w:w="3402"/>
          </w:tcPr>
          <w:p>
            <w:r>
              <w:t>Fixed (source_language=/target_language=)</w:t>
            </w:r>
          </w:p>
        </w:tc>
      </w:tr>
      <w:tr>
        <w:tc>
          <w:tcPr>
            <w:tcW w:type="dxa" w:w="2268"/>
          </w:tcPr>
          <w:p>
            <w:r>
              <w:t>Arabic text purity</w:t>
            </w:r>
          </w:p>
        </w:tc>
        <w:tc>
          <w:tcPr>
            <w:tcW w:type="dxa" w:w="3402"/>
          </w:tcPr>
          <w:p>
            <w:r>
              <w:t>None</w:t>
            </w:r>
          </w:p>
        </w:tc>
        <w:tc>
          <w:tcPr>
            <w:tcW w:type="dxa" w:w="3402"/>
          </w:tcPr>
          <w:p>
            <w:r>
              <w:t>_clean_arabic_script filter on script + MCQs + glossary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C8973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222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