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40"/>
        </w:rPr>
        <w:t>Climate Finance for Developing Countries</w:t>
      </w:r>
    </w:p>
    <w:p>
      <w:pPr>
        <w:jc w:val="center"/>
      </w:pPr>
      <w:r>
        <w:rPr>
          <w:rFonts w:ascii="Arial" w:hAnsi="Arial"/>
          <w:i/>
          <w:color w:val="5A5A5A"/>
          <w:sz w:val="22"/>
        </w:rPr>
        <w:t>RAG test source document for ETIB Interpreter Trainer</w:t>
      </w:r>
    </w:p>
    <w:p>
      <w:r>
        <w:t>Recommended frontend test topic: climate finance for developing countries</w:t>
      </w:r>
    </w:p>
    <w:p>
      <w:r>
        <w:t>Recommended query for context preview: adaptation grants, debt, and early warning systems</w:t>
      </w:r>
    </w:p>
    <w:p>
      <w:pPr>
        <w:pStyle w:val="Heading1"/>
      </w:pPr>
      <w:r>
        <w:t>Executive Brief</w:t>
      </w:r>
    </w:p>
    <w:p>
      <w:r>
        <w:t>At the 2026 Regional Climate Resilience Forum, delegates argued that climate finance must move faster, become more predictable, and reach communities before disasters occur. Developing countries emphasized that adaptation projects are often delayed by complex application procedures, limited administrative capacity, and uncertainty about whether promised funds will actually arrive.</w:t>
      </w:r>
    </w:p>
    <w:p>
      <w:r>
        <w:t>The central proposal in this brief is a three-part financing package: direct adaptation grants, concessional loans for resilient infrastructure, and a rapid-disbursement window for climate emergencies. The proposal is designed for coastal cities, mountain communities, and agricultural regions exposed to floods, droughts, heat waves, and sea-level rise.</w:t>
      </w:r>
    </w:p>
    <w:p>
      <w:pPr>
        <w:pStyle w:val="Heading1"/>
      </w:pPr>
      <w:r>
        <w:t>Key Figures and Commitments</w:t>
      </w:r>
    </w:p>
    <w:p>
      <w:pPr>
        <w:pStyle w:val="ListBullet"/>
      </w:pPr>
      <w:r>
        <w:t>The proposed facility would mobilize 42.6 billion US dollars over five years.</w:t>
      </w:r>
    </w:p>
    <w:p>
      <w:pPr>
        <w:pStyle w:val="ListBullet"/>
      </w:pPr>
      <w:r>
        <w:t>At least 38 percent of the funds would be reserved for adaptation grants rather than loans.</w:t>
      </w:r>
    </w:p>
    <w:p>
      <w:pPr>
        <w:pStyle w:val="ListBullet"/>
      </w:pPr>
      <w:r>
        <w:t>A rapid-disbursement mechanism would release emergency support within 72 hours after a verified climate shock.</w:t>
      </w:r>
    </w:p>
    <w:p>
      <w:pPr>
        <w:pStyle w:val="ListBullet"/>
      </w:pPr>
      <w:r>
        <w:t>The program would prioritize 31 vulnerable countries, including small island states and low-income coastal economies.</w:t>
      </w:r>
    </w:p>
    <w:p>
      <w:pPr>
        <w:pStyle w:val="ListBullet"/>
      </w:pPr>
      <w:r>
        <w:t>Independent auditors would publish quarterly reports on disbursement speed, project completion, and community impact.</w:t>
      </w:r>
    </w:p>
    <w:p>
      <w:pPr>
        <w:pStyle w:val="Heading1"/>
      </w:pPr>
      <w:r>
        <w:t>Policy Tension</w:t>
      </w:r>
    </w:p>
    <w:p>
      <w:r>
        <w:t>Several finance ministers warned that climate loans can deepen debt pressure if they are not paired with grant funding and debt-relief measures. They argued that countries already spending heavily on food imports, fuel subsidies, and post-disaster reconstruction cannot absorb unlimited new borrowing, even when interest rates are low.</w:t>
      </w:r>
    </w:p>
    <w:p>
      <w:r>
        <w:t>Donor representatives responded that private-sector participation is necessary because public budgets alone cannot cover the scale of climate adaptation. They proposed blended finance structures, where public guarantees reduce risk for investors who fund renewable energy grids, flood barriers, drought-resistant irrigation, and resilient transport corridors.</w:t>
      </w:r>
    </w:p>
    <w:p>
      <w:pPr>
        <w:pStyle w:val="Heading1"/>
      </w:pPr>
      <w:r>
        <w:t>Implementation Risks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after="40"/>
            </w:pPr>
            <w:r>
              <w:rPr>
                <w:rFonts w:ascii="Arial" w:hAnsi="Arial"/>
                <w:b/>
                <w:sz w:val="18"/>
              </w:rPr>
              <w:t>Risk</w:t>
            </w:r>
          </w:p>
        </w:tc>
        <w:tc>
          <w:tcPr>
            <w:tcW w:type="dxa" w:w="3120"/>
            <w:vAlign w:val="center"/>
          </w:tcPr>
          <w:p>
            <w:pPr>
              <w:spacing w:after="40"/>
            </w:pPr>
            <w:r>
              <w:rPr>
                <w:rFonts w:ascii="Arial" w:hAnsi="Arial"/>
                <w:b/>
                <w:sz w:val="18"/>
              </w:rPr>
              <w:t>Consequence</w:t>
            </w:r>
          </w:p>
        </w:tc>
        <w:tc>
          <w:tcPr>
            <w:tcW w:type="dxa" w:w="3120"/>
            <w:vAlign w:val="center"/>
          </w:tcPr>
          <w:p>
            <w:pPr>
              <w:spacing w:after="40"/>
            </w:pPr>
            <w:r>
              <w:rPr>
                <w:rFonts w:ascii="Arial" w:hAnsi="Arial"/>
                <w:b/>
                <w:sz w:val="18"/>
              </w:rPr>
              <w:t>Mitigation</w:t>
            </w:r>
          </w:p>
        </w:tc>
      </w:tr>
      <w:tr>
        <w:tc>
          <w:tcPr>
            <w:tcW w:type="dxa" w:w="3120"/>
            <w:vAlign w:val="center"/>
          </w:tcPr>
          <w:p>
            <w:pPr>
              <w:spacing w:after="40"/>
            </w:pPr>
            <w:r>
              <w:rPr>
                <w:rFonts w:ascii="Arial" w:hAnsi="Arial"/>
                <w:sz w:val="18"/>
              </w:rPr>
              <w:t>Slow approval procedures</w:t>
            </w:r>
          </w:p>
        </w:tc>
        <w:tc>
          <w:tcPr>
            <w:tcW w:type="dxa" w:w="3120"/>
            <w:vAlign w:val="center"/>
          </w:tcPr>
          <w:p>
            <w:pPr>
              <w:spacing w:after="40"/>
            </w:pPr>
            <w:r>
              <w:rPr>
                <w:rFonts w:ascii="Arial" w:hAnsi="Arial"/>
                <w:sz w:val="18"/>
              </w:rPr>
              <w:t>Funds arrive after communities have already suffered losses.</w:t>
            </w:r>
          </w:p>
        </w:tc>
        <w:tc>
          <w:tcPr>
            <w:tcW w:type="dxa" w:w="3120"/>
            <w:vAlign w:val="center"/>
          </w:tcPr>
          <w:p>
            <w:pPr>
              <w:spacing w:after="40"/>
            </w:pPr>
            <w:r>
              <w:rPr>
                <w:rFonts w:ascii="Arial" w:hAnsi="Arial"/>
                <w:sz w:val="18"/>
              </w:rPr>
              <w:t>Use simplified applications and pre-approved emergency envelopes.</w:t>
            </w:r>
          </w:p>
        </w:tc>
      </w:tr>
      <w:tr>
        <w:tc>
          <w:tcPr>
            <w:tcW w:type="dxa" w:w="3120"/>
            <w:vAlign w:val="center"/>
          </w:tcPr>
          <w:p>
            <w:pPr>
              <w:spacing w:after="40"/>
            </w:pPr>
            <w:r>
              <w:rPr>
                <w:rFonts w:ascii="Arial" w:hAnsi="Arial"/>
                <w:sz w:val="18"/>
              </w:rPr>
              <w:t>Weak local procurement systems</w:t>
            </w:r>
          </w:p>
        </w:tc>
        <w:tc>
          <w:tcPr>
            <w:tcW w:type="dxa" w:w="3120"/>
            <w:vAlign w:val="center"/>
          </w:tcPr>
          <w:p>
            <w:pPr>
              <w:spacing w:after="40"/>
            </w:pPr>
            <w:r>
              <w:rPr>
                <w:rFonts w:ascii="Arial" w:hAnsi="Arial"/>
                <w:sz w:val="18"/>
              </w:rPr>
              <w:t>Projects stall or become vulnerable to corruption.</w:t>
            </w:r>
          </w:p>
        </w:tc>
        <w:tc>
          <w:tcPr>
            <w:tcW w:type="dxa" w:w="3120"/>
            <w:vAlign w:val="center"/>
          </w:tcPr>
          <w:p>
            <w:pPr>
              <w:spacing w:after="40"/>
            </w:pPr>
            <w:r>
              <w:rPr>
                <w:rFonts w:ascii="Arial" w:hAnsi="Arial"/>
                <w:sz w:val="18"/>
              </w:rPr>
              <w:t>Use transparent tenders, local oversight committees, and digital reporting.</w:t>
            </w:r>
          </w:p>
        </w:tc>
      </w:tr>
      <w:tr>
        <w:tc>
          <w:tcPr>
            <w:tcW w:type="dxa" w:w="3120"/>
            <w:vAlign w:val="center"/>
          </w:tcPr>
          <w:p>
            <w:pPr>
              <w:spacing w:after="40"/>
            </w:pPr>
            <w:r>
              <w:rPr>
                <w:rFonts w:ascii="Arial" w:hAnsi="Arial"/>
                <w:sz w:val="18"/>
              </w:rPr>
              <w:t>Currency instability</w:t>
            </w:r>
          </w:p>
        </w:tc>
        <w:tc>
          <w:tcPr>
            <w:tcW w:type="dxa" w:w="3120"/>
            <w:vAlign w:val="center"/>
          </w:tcPr>
          <w:p>
            <w:pPr>
              <w:spacing w:after="40"/>
            </w:pPr>
            <w:r>
              <w:rPr>
                <w:rFonts w:ascii="Arial" w:hAnsi="Arial"/>
                <w:sz w:val="18"/>
              </w:rPr>
              <w:t>Imported materials become more expensive than projected.</w:t>
            </w:r>
          </w:p>
        </w:tc>
        <w:tc>
          <w:tcPr>
            <w:tcW w:type="dxa" w:w="3120"/>
            <w:vAlign w:val="center"/>
          </w:tcPr>
          <w:p>
            <w:pPr>
              <w:spacing w:after="40"/>
            </w:pPr>
            <w:r>
              <w:rPr>
                <w:rFonts w:ascii="Arial" w:hAnsi="Arial"/>
                <w:sz w:val="18"/>
              </w:rPr>
              <w:t>Include contingency budgets and local sourcing targets.</w:t>
            </w:r>
          </w:p>
        </w:tc>
      </w:tr>
      <w:tr>
        <w:tc>
          <w:tcPr>
            <w:tcW w:type="dxa" w:w="3120"/>
            <w:vAlign w:val="center"/>
          </w:tcPr>
          <w:p>
            <w:pPr>
              <w:spacing w:after="40"/>
            </w:pPr>
            <w:r>
              <w:rPr>
                <w:rFonts w:ascii="Arial" w:hAnsi="Arial"/>
                <w:sz w:val="18"/>
              </w:rPr>
              <w:t>Limited technical staff</w:t>
            </w:r>
          </w:p>
        </w:tc>
        <w:tc>
          <w:tcPr>
            <w:tcW w:type="dxa" w:w="3120"/>
            <w:vAlign w:val="center"/>
          </w:tcPr>
          <w:p>
            <w:pPr>
              <w:spacing w:after="40"/>
            </w:pPr>
            <w:r>
              <w:rPr>
                <w:rFonts w:ascii="Arial" w:hAnsi="Arial"/>
                <w:sz w:val="18"/>
              </w:rPr>
              <w:t>Municipalities struggle to design bankable adaptation projects.</w:t>
            </w:r>
          </w:p>
        </w:tc>
        <w:tc>
          <w:tcPr>
            <w:tcW w:type="dxa" w:w="3120"/>
            <w:vAlign w:val="center"/>
          </w:tcPr>
          <w:p>
            <w:pPr>
              <w:spacing w:after="40"/>
            </w:pPr>
            <w:r>
              <w:rPr>
                <w:rFonts w:ascii="Arial" w:hAnsi="Arial"/>
                <w:sz w:val="18"/>
              </w:rPr>
              <w:t>Fund technical assistance teams and regional project-preparation hubs.</w:t>
            </w:r>
          </w:p>
        </w:tc>
      </w:tr>
    </w:tbl>
    <w:p>
      <w:pPr>
        <w:pStyle w:val="Heading1"/>
      </w:pPr>
      <w:r>
        <w:t>Terminology for Glossary Testing</w:t>
      </w:r>
    </w:p>
    <w:p>
      <w:r>
        <w:t>Important terminology in this document includes: adaptation grants, concessional loans, rapid disbursement, climate shock, debt relief, blended finance, resilient infrastructure, early warning systems, project-preparation hub, community impact audit. These terms should appear in any useful trilingual glossary generated from the source document.</w:t>
      </w:r>
    </w:p>
    <w:p>
      <w:pPr>
        <w:pStyle w:val="Heading1"/>
      </w:pPr>
      <w:r>
        <w:t>Suggested Speech Angle</w:t>
      </w:r>
    </w:p>
    <w:p>
      <w:r>
        <w:t>A document-grounded speech could argue that climate finance is not charity but a stability investment. It should explain why faster grant-based adaptation support can reduce humanitarian costs, protect livelihoods, and improve trust between developing countries and donor institutions. A strong speech should mention the 42.6 billion dollar facility, the 38 percent grant target, the 72-hour emergency window, and the tension between debt sustainability and private-sector participation.</w:t>
      </w:r>
    </w:p>
    <w:p>
      <w:r>
        <w:t>End of test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6F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