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333B6" w14:textId="77777777" w:rsidR="0093781E" w:rsidRDefault="00DC6F21" w:rsidP="00F6205E">
      <w:pPr>
        <w:spacing w:after="140" w:line="276" w:lineRule="auto"/>
        <w:jc w:val="both"/>
        <w:rPr>
          <w:rFonts w:eastAsia="Calibri"/>
          <w:sz w:val="24"/>
          <w:szCs w:val="24"/>
          <w:lang w:val="en-GB"/>
        </w:rPr>
      </w:pPr>
      <w:r w:rsidRPr="00F6205E">
        <w:rPr>
          <w:rFonts w:eastAsia="Calibri"/>
          <w:sz w:val="24"/>
          <w:szCs w:val="24"/>
          <w:lang w:val="en-GB"/>
        </w:rPr>
        <w:t xml:space="preserve">The core </w:t>
      </w:r>
      <w:r w:rsidR="000E781D" w:rsidRPr="00F6205E">
        <w:rPr>
          <w:rFonts w:eastAsia="Calibri"/>
          <w:sz w:val="24"/>
          <w:szCs w:val="24"/>
          <w:lang w:val="en-GB"/>
        </w:rPr>
        <w:t xml:space="preserve">question of the paper </w:t>
      </w:r>
      <w:r w:rsidRPr="00F6205E">
        <w:rPr>
          <w:rFonts w:eastAsia="Calibri"/>
          <w:sz w:val="24"/>
          <w:szCs w:val="24"/>
          <w:lang w:val="en-GB"/>
        </w:rPr>
        <w:t>is rea</w:t>
      </w:r>
      <w:r w:rsidR="000E781D" w:rsidRPr="00F6205E">
        <w:rPr>
          <w:rFonts w:eastAsia="Calibri"/>
          <w:sz w:val="24"/>
          <w:szCs w:val="24"/>
          <w:lang w:val="en-GB"/>
        </w:rPr>
        <w:t>l,</w:t>
      </w:r>
      <w:r w:rsidRPr="00F6205E">
        <w:rPr>
          <w:rFonts w:eastAsia="Calibri"/>
          <w:sz w:val="24"/>
          <w:szCs w:val="24"/>
          <w:lang w:val="en-GB"/>
        </w:rPr>
        <w:t xml:space="preserve"> </w:t>
      </w:r>
      <w:r w:rsidRPr="00F6205E">
        <w:rPr>
          <w:rFonts w:eastAsia="Calibri"/>
          <w:sz w:val="24"/>
          <w:szCs w:val="24"/>
          <w:lang w:val="en-GB"/>
        </w:rPr>
        <w:t>is checkable, and it matters.</w:t>
      </w:r>
      <w:r w:rsidRPr="00F6205E">
        <w:rPr>
          <w:rFonts w:eastAsia="Calibri"/>
          <w:sz w:val="24"/>
          <w:szCs w:val="24"/>
          <w:lang w:val="en-GB"/>
        </w:rPr>
        <w:t xml:space="preserve"> I independently reproduced every number in the manuscript</w:t>
      </w:r>
      <w:r w:rsidR="000E781D" w:rsidRPr="00F6205E">
        <w:rPr>
          <w:rFonts w:eastAsia="Calibri"/>
          <w:sz w:val="24"/>
          <w:szCs w:val="24"/>
          <w:lang w:val="en-GB"/>
        </w:rPr>
        <w:t>, and</w:t>
      </w:r>
      <w:r w:rsidRPr="00F6205E">
        <w:rPr>
          <w:rFonts w:eastAsia="Calibri"/>
          <w:sz w:val="24"/>
          <w:szCs w:val="24"/>
          <w:lang w:val="en-GB"/>
        </w:rPr>
        <w:t xml:space="preserve"> all of them are correct</w:t>
      </w:r>
      <w:r w:rsidRPr="00F6205E">
        <w:rPr>
          <w:rFonts w:eastAsia="Calibri"/>
          <w:sz w:val="24"/>
          <w:szCs w:val="24"/>
          <w:lang w:val="en-GB"/>
        </w:rPr>
        <w:t>.</w:t>
      </w:r>
    </w:p>
    <w:p w14:paraId="013F5B67" w14:textId="77777777" w:rsidR="0093781E" w:rsidRDefault="000E781D" w:rsidP="00F6205E">
      <w:pPr>
        <w:spacing w:after="140" w:line="276" w:lineRule="auto"/>
        <w:jc w:val="both"/>
        <w:rPr>
          <w:rFonts w:eastAsia="Calibri"/>
          <w:sz w:val="24"/>
          <w:szCs w:val="24"/>
          <w:lang w:val="en-GB"/>
        </w:rPr>
      </w:pPr>
      <w:r w:rsidRPr="00F6205E">
        <w:rPr>
          <w:rFonts w:eastAsia="Calibri"/>
          <w:sz w:val="24"/>
          <w:szCs w:val="24"/>
          <w:lang w:val="en-GB"/>
        </w:rPr>
        <w:t>However, I believe that at the moment it looks more like a commentary on previous work than a stand-alone study.</w:t>
      </w:r>
      <w:r w:rsidR="00AB62EA" w:rsidRPr="00F6205E">
        <w:rPr>
          <w:rFonts w:eastAsia="Calibri"/>
          <w:sz w:val="24"/>
          <w:szCs w:val="24"/>
          <w:lang w:val="en-GB"/>
        </w:rPr>
        <w:t xml:space="preserve"> Indeed, to me </w:t>
      </w:r>
      <w:r w:rsidR="00DC6F21" w:rsidRPr="00F6205E">
        <w:rPr>
          <w:rFonts w:eastAsia="Calibri"/>
          <w:sz w:val="24"/>
          <w:szCs w:val="24"/>
          <w:lang w:val="en-GB"/>
        </w:rPr>
        <w:t>the manuscript in its current form undersells its strongest findings and oversells its weakest ones</w:t>
      </w:r>
      <w:r w:rsidR="00DC6F21" w:rsidRPr="00F6205E">
        <w:rPr>
          <w:rFonts w:eastAsia="Calibri"/>
          <w:b/>
          <w:bCs/>
          <w:sz w:val="24"/>
          <w:szCs w:val="24"/>
          <w:lang w:val="en-GB"/>
        </w:rPr>
        <w:t>.</w:t>
      </w:r>
      <w:r w:rsidR="00DC6F21" w:rsidRPr="00F6205E">
        <w:rPr>
          <w:rFonts w:eastAsia="Calibri"/>
          <w:sz w:val="24"/>
          <w:szCs w:val="24"/>
          <w:lang w:val="en-GB"/>
        </w:rPr>
        <w:t xml:space="preserve"> </w:t>
      </w:r>
    </w:p>
    <w:p w14:paraId="6D0212FC" w14:textId="77777777" w:rsidR="0093781E" w:rsidRDefault="00CB29F5" w:rsidP="00F6205E">
      <w:pPr>
        <w:spacing w:after="140" w:line="276" w:lineRule="auto"/>
        <w:jc w:val="both"/>
        <w:rPr>
          <w:rFonts w:eastAsia="Calibri"/>
          <w:sz w:val="24"/>
          <w:szCs w:val="24"/>
          <w:lang w:val="en-GB"/>
        </w:rPr>
      </w:pPr>
      <w:r w:rsidRPr="00F6205E">
        <w:rPr>
          <w:rFonts w:eastAsia="Calibri"/>
          <w:sz w:val="24"/>
          <w:szCs w:val="24"/>
          <w:lang w:val="en-GB"/>
        </w:rPr>
        <w:t>I</w:t>
      </w:r>
      <w:r w:rsidR="00E85676" w:rsidRPr="00F6205E">
        <w:rPr>
          <w:rFonts w:eastAsia="Calibri"/>
          <w:sz w:val="24"/>
          <w:szCs w:val="24"/>
          <w:lang w:val="en-GB"/>
        </w:rPr>
        <w:t xml:space="preserve">n my opinion, </w:t>
      </w:r>
      <w:r w:rsidR="00E85676" w:rsidRPr="00F6205E">
        <w:rPr>
          <w:rFonts w:eastAsia="Calibri"/>
          <w:b/>
          <w:bCs/>
          <w:sz w:val="24"/>
          <w:szCs w:val="24"/>
          <w:lang w:val="en-GB"/>
        </w:rPr>
        <w:t>t</w:t>
      </w:r>
      <w:r w:rsidR="00DC6F21" w:rsidRPr="00F6205E">
        <w:rPr>
          <w:rFonts w:eastAsia="Calibri"/>
          <w:b/>
          <w:bCs/>
          <w:sz w:val="24"/>
          <w:szCs w:val="24"/>
          <w:lang w:val="en-GB"/>
        </w:rPr>
        <w:t>he strongest single piece of evidence is buried.</w:t>
      </w:r>
      <w:r w:rsidR="00DC6F21" w:rsidRPr="00F6205E">
        <w:rPr>
          <w:rFonts w:eastAsia="Calibri"/>
          <w:sz w:val="24"/>
          <w:szCs w:val="24"/>
          <w:lang w:val="en-GB"/>
        </w:rPr>
        <w:t xml:space="preserve"> Ye et al. themselves cite Boetiu</w:t>
      </w:r>
      <w:r w:rsidR="00DC6F21" w:rsidRPr="00F6205E">
        <w:rPr>
          <w:rFonts w:eastAsia="Calibri"/>
          <w:sz w:val="24"/>
          <w:szCs w:val="24"/>
          <w:lang w:val="en-GB"/>
        </w:rPr>
        <w:t xml:space="preserve">s &amp; Wenzhöfer for “cold seeps cover less than 0.05 % of slope area” and then, in the same article, apply 2.05 × 10⁵ km². That is an internal inconsistency inside the target paper, not merely an inherited one. It currently appears in one sentence at the end of </w:t>
      </w:r>
      <w:r w:rsidR="0093781E">
        <w:rPr>
          <w:rFonts w:eastAsia="Calibri"/>
          <w:sz w:val="24"/>
          <w:szCs w:val="24"/>
          <w:lang w:val="en-GB"/>
        </w:rPr>
        <w:t xml:space="preserve">section </w:t>
      </w:r>
      <w:r w:rsidR="00DC6F21" w:rsidRPr="00F6205E">
        <w:rPr>
          <w:rFonts w:eastAsia="Calibri"/>
          <w:sz w:val="24"/>
          <w:szCs w:val="24"/>
          <w:lang w:val="en-GB"/>
        </w:rPr>
        <w:t>3.2 and nowhere in the abstract. It should be a headline result.</w:t>
      </w:r>
      <w:r w:rsidR="00E85676" w:rsidRPr="00F6205E">
        <w:rPr>
          <w:rFonts w:eastAsia="Calibri"/>
          <w:sz w:val="24"/>
          <w:szCs w:val="24"/>
          <w:lang w:val="en-GB"/>
        </w:rPr>
        <w:t xml:space="preserve"> </w:t>
      </w:r>
    </w:p>
    <w:p w14:paraId="3A3A3954" w14:textId="039F3B2C" w:rsidR="00F6205E" w:rsidRPr="00F6205E" w:rsidRDefault="00E85676" w:rsidP="00F6205E">
      <w:pPr>
        <w:spacing w:after="140" w:line="276" w:lineRule="auto"/>
        <w:jc w:val="both"/>
        <w:rPr>
          <w:rFonts w:eastAsia="Calibri"/>
          <w:sz w:val="24"/>
          <w:szCs w:val="24"/>
          <w:lang w:val="en-GB"/>
        </w:rPr>
      </w:pPr>
      <w:r w:rsidRPr="00F6205E">
        <w:rPr>
          <w:rFonts w:eastAsia="Calibri"/>
          <w:sz w:val="24"/>
          <w:szCs w:val="24"/>
          <w:lang w:val="en-GB"/>
        </w:rPr>
        <w:t>A</w:t>
      </w:r>
      <w:r w:rsidR="00DC6F21" w:rsidRPr="00F6205E">
        <w:rPr>
          <w:rFonts w:eastAsia="Calibri"/>
          <w:b/>
          <w:bCs/>
          <w:sz w:val="24"/>
          <w:szCs w:val="24"/>
          <w:lang w:val="en-GB"/>
        </w:rPr>
        <w:t xml:space="preserve"> </w:t>
      </w:r>
      <w:r w:rsidR="00DC6F21" w:rsidRPr="00F6205E">
        <w:rPr>
          <w:rFonts w:eastAsia="Calibri"/>
          <w:sz w:val="24"/>
          <w:szCs w:val="24"/>
          <w:lang w:val="en-GB"/>
        </w:rPr>
        <w:t xml:space="preserve">second, arguably more robust finding </w:t>
      </w:r>
      <w:r w:rsidRPr="00F6205E">
        <w:rPr>
          <w:rFonts w:eastAsia="Calibri"/>
          <w:sz w:val="24"/>
          <w:szCs w:val="24"/>
          <w:lang w:val="en-GB"/>
        </w:rPr>
        <w:t>appears in the data but is never stated as such</w:t>
      </w:r>
      <w:r w:rsidR="00DC6F21" w:rsidRPr="00F6205E">
        <w:rPr>
          <w:rFonts w:eastAsia="Calibri"/>
          <w:b/>
          <w:bCs/>
          <w:sz w:val="24"/>
          <w:szCs w:val="24"/>
          <w:lang w:val="en-GB"/>
        </w:rPr>
        <w:t>.</w:t>
      </w:r>
      <w:r w:rsidR="00DC6F21" w:rsidRPr="00F6205E">
        <w:rPr>
          <w:rFonts w:eastAsia="Calibri"/>
          <w:sz w:val="24"/>
          <w:szCs w:val="24"/>
          <w:lang w:val="en-GB"/>
        </w:rPr>
        <w:t xml:space="preserve"> </w:t>
      </w:r>
      <w:r w:rsidR="00DC6F21" w:rsidRPr="00F6205E">
        <w:rPr>
          <w:rFonts w:eastAsia="Calibri"/>
          <w:b/>
          <w:bCs/>
          <w:sz w:val="24"/>
          <w:szCs w:val="24"/>
          <w:lang w:val="en-GB"/>
        </w:rPr>
        <w:t>The two “endpoints” are not endpoints of an interval at all: they are two incommensurate point constructions</w:t>
      </w:r>
      <w:r w:rsidR="00DC6F21" w:rsidRPr="00F6205E">
        <w:rPr>
          <w:rFonts w:eastAsia="Calibri"/>
          <w:sz w:val="24"/>
          <w:szCs w:val="24"/>
          <w:lang w:val="en-GB"/>
        </w:rPr>
        <w:t xml:space="preserve"> (a slope-area × occupation-fraction estimate and a Haima-extrapolation estimate) with different spatial objects, generated by different methods, presented as if they were a range. This claim does not depend on the factor-of-ten inference and is therefore harder to rebut. Elevate it to a co-equal result.</w:t>
      </w:r>
      <w:r w:rsidR="00C610AB" w:rsidRPr="00F6205E">
        <w:rPr>
          <w:rFonts w:eastAsia="Calibri"/>
          <w:sz w:val="24"/>
          <w:szCs w:val="24"/>
          <w:lang w:val="en-GB"/>
        </w:rPr>
        <w:t xml:space="preserve"> </w:t>
      </w:r>
    </w:p>
    <w:p w14:paraId="13153658" w14:textId="49B3693A" w:rsidR="00DC003B" w:rsidRPr="00F6205E" w:rsidRDefault="00DC6F21" w:rsidP="00533723">
      <w:pPr>
        <w:pStyle w:val="Titolo1"/>
        <w:spacing w:before="360" w:after="160"/>
        <w:jc w:val="both"/>
        <w:rPr>
          <w:color w:val="auto"/>
          <w:sz w:val="24"/>
          <w:szCs w:val="24"/>
          <w:lang w:val="en-GB"/>
        </w:rPr>
      </w:pPr>
      <w:r w:rsidRPr="00F6205E">
        <w:rPr>
          <w:rFonts w:eastAsia="Calibri"/>
          <w:b/>
          <w:bCs/>
          <w:color w:val="auto"/>
          <w:sz w:val="24"/>
          <w:szCs w:val="24"/>
          <w:lang w:val="en-GB"/>
        </w:rPr>
        <w:t xml:space="preserve"> Major scientific points</w:t>
      </w:r>
    </w:p>
    <w:p w14:paraId="1315365A" w14:textId="3A7F4FB7" w:rsidR="00DC003B" w:rsidRPr="00F6205E" w:rsidRDefault="00DC6F21" w:rsidP="005D1C49">
      <w:pPr>
        <w:pStyle w:val="Titolo2"/>
        <w:spacing w:before="260" w:after="120"/>
        <w:jc w:val="both"/>
        <w:rPr>
          <w:color w:val="auto"/>
          <w:sz w:val="24"/>
          <w:szCs w:val="24"/>
          <w:lang w:val="en-GB"/>
        </w:rPr>
      </w:pPr>
      <w:r w:rsidRPr="00F6205E">
        <w:rPr>
          <w:rFonts w:eastAsia="Calibri"/>
          <w:b/>
          <w:bCs/>
          <w:color w:val="auto"/>
          <w:sz w:val="24"/>
          <w:szCs w:val="24"/>
          <w:lang w:val="en-GB"/>
        </w:rPr>
        <w:t>Promote the Ye et al. internal inconsistency to a primary result</w:t>
      </w:r>
      <w:r w:rsidR="005D1C49">
        <w:rPr>
          <w:rFonts w:eastAsia="Calibri"/>
          <w:b/>
          <w:bCs/>
          <w:color w:val="auto"/>
          <w:sz w:val="24"/>
          <w:szCs w:val="24"/>
          <w:lang w:val="en-GB"/>
        </w:rPr>
        <w:t xml:space="preserve">. </w:t>
      </w:r>
      <w:r w:rsidRPr="00F6205E">
        <w:rPr>
          <w:rFonts w:eastAsia="Calibri"/>
          <w:color w:val="auto"/>
          <w:sz w:val="24"/>
          <w:szCs w:val="24"/>
          <w:lang w:val="en-GB"/>
        </w:rPr>
        <w:t xml:space="preserve">Currently </w:t>
      </w:r>
      <w:r w:rsidR="00D37251" w:rsidRPr="005D1C49">
        <w:rPr>
          <w:rFonts w:eastAsia="Calibri"/>
          <w:color w:val="auto"/>
          <w:sz w:val="24"/>
          <w:szCs w:val="24"/>
          <w:lang w:val="en-GB"/>
        </w:rPr>
        <w:t>in</w:t>
      </w:r>
      <w:r w:rsidR="00D37251">
        <w:rPr>
          <w:rFonts w:eastAsia="Calibri"/>
          <w:sz w:val="24"/>
          <w:szCs w:val="24"/>
          <w:lang w:val="en-GB"/>
        </w:rPr>
        <w:t xml:space="preserve"> </w:t>
      </w:r>
      <w:r w:rsidRPr="00F6205E">
        <w:rPr>
          <w:rFonts w:eastAsia="Calibri"/>
          <w:color w:val="auto"/>
          <w:sz w:val="24"/>
          <w:szCs w:val="24"/>
          <w:lang w:val="en-GB"/>
        </w:rPr>
        <w:t>3.2, penultimate paragraph. It deserves its own numbered result and a clause in the abstract. The logical structure changes usefully: the paper is no longer only “an error propagated through a citation chain” (which invites “we just cited the published value”) but “the target article states a premise and then uses a value incompatible with it.” That is a self-contained, citation-chain-independent finding.</w:t>
      </w:r>
    </w:p>
    <w:p w14:paraId="3816F945" w14:textId="77777777" w:rsidR="00C540E3" w:rsidRDefault="00DC6F21" w:rsidP="00C540E3">
      <w:pPr>
        <w:pStyle w:val="Titolo2"/>
        <w:spacing w:before="260" w:after="120"/>
        <w:jc w:val="both"/>
        <w:rPr>
          <w:rFonts w:eastAsia="Calibri"/>
          <w:color w:val="auto"/>
          <w:sz w:val="24"/>
          <w:szCs w:val="24"/>
          <w:lang w:val="en-GB"/>
        </w:rPr>
      </w:pPr>
      <w:r w:rsidRPr="00F6205E">
        <w:rPr>
          <w:rFonts w:eastAsia="Calibri"/>
          <w:b/>
          <w:bCs/>
          <w:color w:val="auto"/>
          <w:sz w:val="24"/>
          <w:szCs w:val="24"/>
          <w:lang w:val="en-GB"/>
        </w:rPr>
        <w:t>Make the “this is not an interval” argument a headline claim</w:t>
      </w:r>
      <w:r w:rsidR="00C540E3">
        <w:rPr>
          <w:rFonts w:eastAsia="Calibri"/>
          <w:b/>
          <w:bCs/>
          <w:color w:val="auto"/>
          <w:sz w:val="24"/>
          <w:szCs w:val="24"/>
          <w:lang w:val="en-GB"/>
        </w:rPr>
        <w:t xml:space="preserve">. </w:t>
      </w:r>
      <w:r w:rsidRPr="00F6205E">
        <w:rPr>
          <w:rFonts w:eastAsia="Calibri"/>
          <w:color w:val="auto"/>
          <w:sz w:val="24"/>
          <w:szCs w:val="24"/>
          <w:lang w:val="en-GB"/>
        </w:rPr>
        <w:t xml:space="preserve">Table 1 already contains everything needed, but the manuscript treats heterogeneity as a caveat rather than a result. </w:t>
      </w:r>
      <w:r w:rsidRPr="00C540E3">
        <w:rPr>
          <w:rFonts w:eastAsia="Calibri"/>
          <w:color w:val="auto"/>
          <w:sz w:val="24"/>
          <w:szCs w:val="24"/>
          <w:lang w:val="en-GB"/>
        </w:rPr>
        <w:t>Recommend a dedicated results subsection making these points explicitly</w:t>
      </w:r>
    </w:p>
    <w:p w14:paraId="13153664" w14:textId="0A7BDAD7" w:rsidR="00DC003B" w:rsidRPr="00AB0B96" w:rsidRDefault="00DC6F21" w:rsidP="00103614">
      <w:pPr>
        <w:pStyle w:val="Titolo2"/>
        <w:spacing w:before="260" w:after="120"/>
        <w:jc w:val="both"/>
        <w:rPr>
          <w:color w:val="auto"/>
          <w:sz w:val="24"/>
          <w:szCs w:val="24"/>
          <w:lang w:val="en-GB"/>
        </w:rPr>
      </w:pPr>
      <w:r w:rsidRPr="00F6205E">
        <w:rPr>
          <w:rFonts w:eastAsia="Calibri"/>
          <w:b/>
          <w:bCs/>
          <w:color w:val="auto"/>
          <w:sz w:val="24"/>
          <w:szCs w:val="24"/>
          <w:lang w:val="en-GB"/>
        </w:rPr>
        <w:t>Missing check with real diagnostic value: the implied sediment density is physically implausible</w:t>
      </w:r>
      <w:r w:rsidR="00103614">
        <w:rPr>
          <w:rFonts w:eastAsia="Calibri"/>
          <w:b/>
          <w:bCs/>
          <w:color w:val="auto"/>
          <w:sz w:val="24"/>
          <w:szCs w:val="24"/>
          <w:lang w:val="en-GB"/>
        </w:rPr>
        <w:t xml:space="preserve">. </w:t>
      </w:r>
      <w:r w:rsidRPr="00F6205E">
        <w:rPr>
          <w:rFonts w:eastAsia="Calibri"/>
          <w:color w:val="auto"/>
          <w:sz w:val="24"/>
          <w:szCs w:val="24"/>
          <w:lang w:val="en-GB"/>
        </w:rPr>
        <w:t>This is the most important addition I can suggest.</w:t>
      </w:r>
      <w:r w:rsidR="00103614">
        <w:rPr>
          <w:rFonts w:eastAsia="Calibri"/>
          <w:color w:val="auto"/>
          <w:sz w:val="24"/>
          <w:szCs w:val="24"/>
          <w:lang w:val="en-GB"/>
        </w:rPr>
        <w:t xml:space="preserve"> </w:t>
      </w:r>
      <w:r w:rsidRPr="00F6205E">
        <w:rPr>
          <w:rFonts w:eastAsia="Calibri"/>
          <w:color w:val="auto"/>
          <w:sz w:val="24"/>
          <w:szCs w:val="24"/>
          <w:lang w:val="en-GB"/>
        </w:rPr>
        <w:t xml:space="preserve">The manuscript reverse-engineers </w:t>
      </w:r>
      <w:r w:rsidRPr="00F6205E">
        <w:rPr>
          <w:rFonts w:eastAsia="Calibri"/>
          <w:color w:val="auto"/>
          <w:sz w:val="24"/>
          <w:szCs w:val="24"/>
        </w:rPr>
        <w:t>ρ</w:t>
      </w:r>
      <w:r w:rsidRPr="00F6205E">
        <w:rPr>
          <w:rFonts w:eastAsia="Calibri"/>
          <w:color w:val="auto"/>
          <w:sz w:val="24"/>
          <w:szCs w:val="24"/>
          <w:lang w:val="en-GB"/>
        </w:rPr>
        <w:t xml:space="preserve">_eff = 1.65 g cm⁻³ from Eq. (8) and then dismisses the exercise as “nonunique” and “unnecessary to Equation (5).” Both statements are true, but they cause the authors to miss the fact that </w:t>
      </w:r>
      <w:r w:rsidRPr="00F6205E">
        <w:rPr>
          <w:rFonts w:eastAsia="Calibri"/>
          <w:b/>
          <w:bCs/>
          <w:color w:val="auto"/>
          <w:sz w:val="24"/>
          <w:szCs w:val="24"/>
          <w:lang w:val="en-GB"/>
        </w:rPr>
        <w:t>1.65 g cm⁻³ is not a plausible dry bulk density for near-surface cold-seep sediment.</w:t>
      </w:r>
      <w:r w:rsidRPr="00F6205E">
        <w:rPr>
          <w:rFonts w:eastAsia="Calibri"/>
          <w:color w:val="auto"/>
          <w:sz w:val="24"/>
          <w:szCs w:val="24"/>
          <w:lang w:val="en-GB"/>
        </w:rPr>
        <w:t xml:space="preserve"> Ye et al.’s c is defined as a percentage of dry mass, so the coefficient that converts volume to mass must be dry bulk density, </w:t>
      </w:r>
      <w:r w:rsidRPr="00F6205E">
        <w:rPr>
          <w:rFonts w:eastAsia="Calibri"/>
          <w:color w:val="auto"/>
          <w:sz w:val="24"/>
          <w:szCs w:val="24"/>
        </w:rPr>
        <w:t>ρ</w:t>
      </w:r>
      <w:r w:rsidRPr="00F6205E">
        <w:rPr>
          <w:rFonts w:eastAsia="Calibri"/>
          <w:color w:val="auto"/>
          <w:sz w:val="24"/>
          <w:szCs w:val="24"/>
          <w:lang w:val="en-GB"/>
        </w:rPr>
        <w:t xml:space="preserve">_d = </w:t>
      </w:r>
      <w:r w:rsidRPr="00F6205E">
        <w:rPr>
          <w:rFonts w:eastAsia="Calibri"/>
          <w:color w:val="auto"/>
          <w:sz w:val="24"/>
          <w:szCs w:val="24"/>
        </w:rPr>
        <w:t>ρ</w:t>
      </w:r>
      <w:r w:rsidRPr="00F6205E">
        <w:rPr>
          <w:rFonts w:eastAsia="Calibri"/>
          <w:color w:val="auto"/>
          <w:sz w:val="24"/>
          <w:szCs w:val="24"/>
          <w:lang w:val="en-GB"/>
        </w:rPr>
        <w:t xml:space="preserve">_grain(1 − </w:t>
      </w:r>
      <w:r w:rsidRPr="00F6205E">
        <w:rPr>
          <w:rFonts w:eastAsia="Calibri"/>
          <w:color w:val="auto"/>
          <w:sz w:val="24"/>
          <w:szCs w:val="24"/>
        </w:rPr>
        <w:t>φ</w:t>
      </w:r>
      <w:r w:rsidRPr="00F6205E">
        <w:rPr>
          <w:rFonts w:eastAsia="Calibri"/>
          <w:color w:val="auto"/>
          <w:sz w:val="24"/>
          <w:szCs w:val="24"/>
          <w:lang w:val="en-GB"/>
        </w:rPr>
        <w:t xml:space="preserve">). </w:t>
      </w:r>
      <w:r w:rsidRPr="00AB0B96">
        <w:rPr>
          <w:rFonts w:eastAsia="Calibri"/>
          <w:color w:val="auto"/>
          <w:sz w:val="24"/>
          <w:szCs w:val="24"/>
          <w:lang w:val="en-GB"/>
        </w:rPr>
        <w:t>With a quartz-clay grain density of ~2.65 g cm⁻³:</w:t>
      </w:r>
    </w:p>
    <w:p w14:paraId="30A73D12" w14:textId="385BA39C" w:rsidR="00AB0B96" w:rsidRDefault="00DC6F21" w:rsidP="00AB0B96">
      <w:pPr>
        <w:pStyle w:val="Titolo2"/>
        <w:spacing w:before="260" w:after="120"/>
        <w:jc w:val="both"/>
        <w:rPr>
          <w:rFonts w:eastAsia="Calibri"/>
          <w:color w:val="auto"/>
          <w:sz w:val="24"/>
          <w:szCs w:val="24"/>
          <w:lang w:val="en-GB"/>
        </w:rPr>
      </w:pPr>
      <w:r w:rsidRPr="00F6205E">
        <w:rPr>
          <w:rFonts w:eastAsia="Calibri"/>
          <w:b/>
          <w:bCs/>
          <w:color w:val="auto"/>
          <w:sz w:val="24"/>
          <w:szCs w:val="24"/>
          <w:lang w:val="en-GB"/>
        </w:rPr>
        <w:t xml:space="preserve"> Missing: independent plausibility triangulation of global seep area</w:t>
      </w:r>
      <w:r w:rsidR="00AB0B96">
        <w:rPr>
          <w:rFonts w:eastAsia="Calibri"/>
          <w:b/>
          <w:bCs/>
          <w:color w:val="auto"/>
          <w:sz w:val="24"/>
          <w:szCs w:val="24"/>
          <w:lang w:val="en-GB"/>
        </w:rPr>
        <w:t xml:space="preserve">. </w:t>
      </w:r>
      <w:r w:rsidRPr="00F6205E">
        <w:rPr>
          <w:rFonts w:eastAsia="Calibri"/>
          <w:color w:val="auto"/>
          <w:sz w:val="24"/>
          <w:szCs w:val="24"/>
          <w:lang w:val="en-GB"/>
        </w:rPr>
        <w:t>A reader’s first question is “which number is actually right?” The manuscript answers only “we do not claim to know,” which is honest but leaves the work feeling incomplete</w:t>
      </w:r>
      <w:r w:rsidRPr="00F6205E">
        <w:rPr>
          <w:rFonts w:eastAsia="Calibri"/>
          <w:color w:val="auto"/>
          <w:sz w:val="24"/>
          <w:szCs w:val="24"/>
          <w:lang w:val="en-GB"/>
        </w:rPr>
        <w:t xml:space="preserve">. Add a short subsection compiling what the literature independently implies about global active-seep area — orders of magnitude from seep-count inventories, methane-flux inversions, margin-scale mapping surveys and slope-area occupation estimates. </w:t>
      </w:r>
    </w:p>
    <w:p w14:paraId="131536BD" w14:textId="1CA8596D" w:rsidR="00DC003B" w:rsidRDefault="00DC6F21" w:rsidP="00E96106">
      <w:pPr>
        <w:pStyle w:val="Titolo2"/>
        <w:spacing w:before="260" w:after="120"/>
        <w:jc w:val="both"/>
        <w:rPr>
          <w:rFonts w:eastAsia="Calibri"/>
          <w:color w:val="auto"/>
          <w:sz w:val="24"/>
          <w:szCs w:val="24"/>
          <w:lang w:val="en-GB"/>
        </w:rPr>
      </w:pPr>
      <w:r w:rsidRPr="00F6205E">
        <w:rPr>
          <w:rFonts w:eastAsia="Calibri"/>
          <w:b/>
          <w:bCs/>
          <w:color w:val="auto"/>
          <w:sz w:val="24"/>
          <w:szCs w:val="24"/>
          <w:lang w:val="en-GB"/>
        </w:rPr>
        <w:t>Missing: the commensurability problem has a direction, and it is not neutral</w:t>
      </w:r>
      <w:r w:rsidR="00AB0B96">
        <w:rPr>
          <w:rFonts w:eastAsia="Calibri"/>
          <w:b/>
          <w:bCs/>
          <w:color w:val="auto"/>
          <w:sz w:val="24"/>
          <w:szCs w:val="24"/>
          <w:lang w:val="en-GB"/>
        </w:rPr>
        <w:t xml:space="preserve">. </w:t>
      </w:r>
      <w:r w:rsidR="00AB0B96" w:rsidRPr="00AB0B96">
        <w:rPr>
          <w:rFonts w:eastAsia="Calibri"/>
          <w:color w:val="auto"/>
          <w:sz w:val="24"/>
          <w:szCs w:val="24"/>
          <w:lang w:val="en-GB"/>
        </w:rPr>
        <w:t>Section</w:t>
      </w:r>
      <w:r w:rsidR="00AB0B96">
        <w:rPr>
          <w:rFonts w:eastAsia="Calibri"/>
          <w:b/>
          <w:bCs/>
          <w:color w:val="auto"/>
          <w:sz w:val="24"/>
          <w:szCs w:val="24"/>
          <w:lang w:val="en-GB"/>
        </w:rPr>
        <w:t xml:space="preserve"> </w:t>
      </w:r>
      <w:r w:rsidRPr="00F6205E">
        <w:rPr>
          <w:rFonts w:eastAsia="Calibri"/>
          <w:color w:val="auto"/>
          <w:sz w:val="24"/>
          <w:szCs w:val="24"/>
          <w:lang w:val="en-GB"/>
        </w:rPr>
        <w:t xml:space="preserve">4.2 correctly identifies that Boetius &amp; Wenzhöfer’s premise concerns active seep systems while Ye et al.’s concentration is measured at the mature developmental stage. But the manuscript stops at “not shown to be commensurate.” State the direction: mature seeps are one stage among several in Ye </w:t>
      </w:r>
      <w:r w:rsidRPr="00F6205E">
        <w:rPr>
          <w:rFonts w:eastAsia="Calibri"/>
          <w:color w:val="auto"/>
          <w:sz w:val="24"/>
          <w:szCs w:val="24"/>
          <w:lang w:val="en-GB"/>
        </w:rPr>
        <w:lastRenderedPageBreak/>
        <w:t xml:space="preserve">et al.’s own developmental framework, so mature-seep area is a subset of active-seep area. Applying a mature-stage concentration to the whole active-seep area therefore biases the published stock </w:t>
      </w:r>
      <w:r w:rsidRPr="00837DAA">
        <w:rPr>
          <w:rFonts w:eastAsia="Calibri"/>
          <w:color w:val="auto"/>
          <w:sz w:val="24"/>
          <w:szCs w:val="24"/>
          <w:lang w:val="en-GB"/>
        </w:rPr>
        <w:t>upward</w:t>
      </w:r>
      <w:r w:rsidRPr="00F6205E">
        <w:rPr>
          <w:rFonts w:eastAsia="Calibri"/>
          <w:color w:val="auto"/>
          <w:sz w:val="24"/>
          <w:szCs w:val="24"/>
          <w:lang w:val="en-GB"/>
        </w:rPr>
        <w:t xml:space="preserve">, independently of the area arithmetic. </w:t>
      </w:r>
    </w:p>
    <w:p w14:paraId="76C8FA12" w14:textId="77777777" w:rsidR="00F2700B" w:rsidRPr="00F2700B" w:rsidRDefault="00F2700B" w:rsidP="00F2700B">
      <w:pPr>
        <w:rPr>
          <w:lang w:val="en-GB"/>
        </w:rPr>
      </w:pPr>
    </w:p>
    <w:p w14:paraId="21567543" w14:textId="77777777" w:rsidR="00C86ADC" w:rsidRDefault="00DC6F21" w:rsidP="00C86ADC">
      <w:pPr>
        <w:spacing w:after="140" w:line="276" w:lineRule="auto"/>
        <w:jc w:val="both"/>
        <w:rPr>
          <w:rFonts w:eastAsia="Calibri"/>
          <w:sz w:val="24"/>
          <w:szCs w:val="24"/>
          <w:lang w:val="en-GB"/>
        </w:rPr>
      </w:pPr>
      <w:r w:rsidRPr="00F2700B">
        <w:rPr>
          <w:rFonts w:eastAsia="Calibri"/>
          <w:b/>
          <w:bCs/>
          <w:sz w:val="24"/>
          <w:szCs w:val="24"/>
          <w:lang w:val="en-GB"/>
        </w:rPr>
        <w:t>audit, correction scholarship, negative source search, rescue tests, individual responsibility, prepublication value</w:t>
      </w:r>
      <w:r w:rsidRPr="00F6205E">
        <w:rPr>
          <w:rFonts w:eastAsia="Calibri"/>
          <w:sz w:val="24"/>
          <w:szCs w:val="24"/>
          <w:lang w:val="en-GB"/>
        </w:rPr>
        <w:t xml:space="preserve"> read as forensic-legal rather than scientific. </w:t>
      </w:r>
    </w:p>
    <w:p w14:paraId="131536E5" w14:textId="3BA8B71D" w:rsidR="00DC003B" w:rsidRPr="00F6205E" w:rsidRDefault="00DC6F21" w:rsidP="00107B59">
      <w:pPr>
        <w:spacing w:after="140" w:line="276" w:lineRule="auto"/>
        <w:jc w:val="both"/>
        <w:rPr>
          <w:sz w:val="24"/>
          <w:szCs w:val="24"/>
          <w:lang w:val="en-GB"/>
        </w:rPr>
      </w:pPr>
      <w:r w:rsidRPr="00F6205E">
        <w:rPr>
          <w:rFonts w:eastAsia="Calibri"/>
          <w:sz w:val="24"/>
          <w:szCs w:val="24"/>
          <w:lang w:val="en-GB"/>
        </w:rPr>
        <w:t xml:space="preserve">Remove the table of contents — unnecessary in an 11-page comment and unusual for the target venues. </w:t>
      </w:r>
    </w:p>
    <w:sectPr w:rsidR="00DC003B" w:rsidRPr="00F6205E">
      <w:footerReference w:type="default" r:id="rId7"/>
      <w:pgSz w:w="11906" w:h="16838"/>
      <w:pgMar w:top="1200" w:right="1273" w:bottom="1200" w:left="1273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D29AC" w14:textId="77777777" w:rsidR="00DC6F21" w:rsidRDefault="00DC6F21">
      <w:r>
        <w:separator/>
      </w:r>
    </w:p>
  </w:endnote>
  <w:endnote w:type="continuationSeparator" w:id="0">
    <w:p w14:paraId="52B63EE8" w14:textId="77777777" w:rsidR="00DC6F21" w:rsidRDefault="00DC6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A37A1A3-3D71-4595-9B63-64AD8E7FB2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EE5332A-9AC7-4EA7-A193-F9EDB9583DAD}"/>
    <w:embedBold r:id="rId3" w:fontKey="{0AC510D6-A529-40D6-A9B4-4D93076F3B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DB7C443-FEF0-4B47-87DF-F0CAD2BA48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536E6" w14:textId="4D341F9D" w:rsidR="00DC003B" w:rsidRDefault="00DC6F21">
    <w:pPr>
      <w:jc w:val="center"/>
    </w:pPr>
    <w:r>
      <w:rPr>
        <w:rFonts w:ascii="Calibri" w:eastAsia="Calibri" w:hAnsi="Calibri" w:cs="Calibri"/>
        <w:color w:val="595959"/>
        <w:sz w:val="17"/>
        <w:szCs w:val="17"/>
      </w:rPr>
      <w:t xml:space="preserve">Page </w:t>
    </w:r>
    <w:r>
      <w:rPr>
        <w:rFonts w:ascii="Calibri" w:eastAsia="Calibri" w:hAnsi="Calibri" w:cs="Calibri"/>
        <w:color w:val="595959"/>
        <w:sz w:val="17"/>
        <w:szCs w:val="17"/>
      </w:rPr>
      <w:fldChar w:fldCharType="begin"/>
    </w:r>
    <w:r>
      <w:rPr>
        <w:rFonts w:ascii="Calibri" w:eastAsia="Calibri" w:hAnsi="Calibri" w:cs="Calibri"/>
        <w:color w:val="595959"/>
        <w:sz w:val="17"/>
        <w:szCs w:val="17"/>
      </w:rPr>
      <w:instrText>PAGE</w:instrText>
    </w:r>
    <w:r>
      <w:rPr>
        <w:rFonts w:ascii="Calibri" w:eastAsia="Calibri" w:hAnsi="Calibri" w:cs="Calibri"/>
        <w:color w:val="595959"/>
        <w:sz w:val="17"/>
        <w:szCs w:val="17"/>
      </w:rPr>
      <w:fldChar w:fldCharType="separate"/>
    </w:r>
    <w:r w:rsidR="00533723">
      <w:rPr>
        <w:rFonts w:ascii="Calibri" w:eastAsia="Calibri" w:hAnsi="Calibri" w:cs="Calibri"/>
        <w:noProof/>
        <w:color w:val="595959"/>
        <w:sz w:val="17"/>
        <w:szCs w:val="17"/>
      </w:rPr>
      <w:t>1</w:t>
    </w:r>
    <w:r>
      <w:rPr>
        <w:rFonts w:ascii="Calibri" w:eastAsia="Calibri" w:hAnsi="Calibri" w:cs="Calibri"/>
        <w:color w:val="595959"/>
        <w:sz w:val="17"/>
        <w:szCs w:val="17"/>
      </w:rPr>
      <w:fldChar w:fldCharType="end"/>
    </w:r>
    <w:r>
      <w:rPr>
        <w:rFonts w:ascii="Calibri" w:eastAsia="Calibri" w:hAnsi="Calibri" w:cs="Calibri"/>
        <w:color w:val="595959"/>
        <w:sz w:val="17"/>
        <w:szCs w:val="17"/>
      </w:rPr>
      <w:t xml:space="preserve"> of </w:t>
    </w:r>
    <w:r>
      <w:rPr>
        <w:rFonts w:ascii="Calibri" w:eastAsia="Calibri" w:hAnsi="Calibri" w:cs="Calibri"/>
        <w:color w:val="595959"/>
        <w:sz w:val="17"/>
        <w:szCs w:val="17"/>
      </w:rPr>
      <w:fldChar w:fldCharType="begin"/>
    </w:r>
    <w:r>
      <w:rPr>
        <w:rFonts w:ascii="Calibri" w:eastAsia="Calibri" w:hAnsi="Calibri" w:cs="Calibri"/>
        <w:color w:val="595959"/>
        <w:sz w:val="17"/>
        <w:szCs w:val="17"/>
      </w:rPr>
      <w:instrText>NUMPAGES</w:instrText>
    </w:r>
    <w:r>
      <w:rPr>
        <w:rFonts w:ascii="Calibri" w:eastAsia="Calibri" w:hAnsi="Calibri" w:cs="Calibri"/>
        <w:color w:val="595959"/>
        <w:sz w:val="17"/>
        <w:szCs w:val="17"/>
      </w:rPr>
      <w:fldChar w:fldCharType="separate"/>
    </w:r>
    <w:r w:rsidR="00533723">
      <w:rPr>
        <w:rFonts w:ascii="Calibri" w:eastAsia="Calibri" w:hAnsi="Calibri" w:cs="Calibri"/>
        <w:noProof/>
        <w:color w:val="595959"/>
        <w:sz w:val="17"/>
        <w:szCs w:val="17"/>
      </w:rPr>
      <w:t>2</w:t>
    </w:r>
    <w:r>
      <w:rPr>
        <w:rFonts w:ascii="Calibri" w:eastAsia="Calibri" w:hAnsi="Calibri" w:cs="Calibri"/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2C260" w14:textId="77777777" w:rsidR="00DC6F21" w:rsidRDefault="00DC6F21">
      <w:r>
        <w:separator/>
      </w:r>
    </w:p>
  </w:footnote>
  <w:footnote w:type="continuationSeparator" w:id="0">
    <w:p w14:paraId="77226DBD" w14:textId="77777777" w:rsidR="00DC6F21" w:rsidRDefault="00DC6F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43AEA"/>
    <w:multiLevelType w:val="multilevel"/>
    <w:tmpl w:val="83D63044"/>
    <w:lvl w:ilvl="0">
      <w:start w:val="1"/>
      <w:numFmt w:val="decimal"/>
      <w:lvlText w:val="%1."/>
      <w:lvlJc w:val="left"/>
      <w:pPr>
        <w:ind w:left="460" w:hanging="3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77468A9"/>
    <w:multiLevelType w:val="multilevel"/>
    <w:tmpl w:val="D78A7B2C"/>
    <w:lvl w:ilvl="0">
      <w:start w:val="1"/>
      <w:numFmt w:val="bullet"/>
      <w:lvlText w:val="•"/>
      <w:lvlJc w:val="left"/>
      <w:pPr>
        <w:ind w:left="460" w:hanging="24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57550F84"/>
    <w:multiLevelType w:val="multilevel"/>
    <w:tmpl w:val="DD2447D2"/>
    <w:lvl w:ilvl="0">
      <w:start w:val="1"/>
      <w:numFmt w:val="decimal"/>
      <w:lvlText w:val="%1."/>
      <w:lvlJc w:val="left"/>
      <w:pPr>
        <w:ind w:left="460" w:hanging="3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872840155">
    <w:abstractNumId w:val="0"/>
  </w:num>
  <w:num w:numId="2" w16cid:durableId="1700548717">
    <w:abstractNumId w:val="1"/>
  </w:num>
  <w:num w:numId="3" w16cid:durableId="1468819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03B"/>
    <w:rsid w:val="000E781D"/>
    <w:rsid w:val="00103614"/>
    <w:rsid w:val="00107B59"/>
    <w:rsid w:val="00524E38"/>
    <w:rsid w:val="00533723"/>
    <w:rsid w:val="005D1C49"/>
    <w:rsid w:val="00837DAA"/>
    <w:rsid w:val="0093781E"/>
    <w:rsid w:val="00AB0B96"/>
    <w:rsid w:val="00AB62EA"/>
    <w:rsid w:val="00C540E3"/>
    <w:rsid w:val="00C610AB"/>
    <w:rsid w:val="00C86ADC"/>
    <w:rsid w:val="00CB29F5"/>
    <w:rsid w:val="00CB6DF0"/>
    <w:rsid w:val="00D37251"/>
    <w:rsid w:val="00DC003B"/>
    <w:rsid w:val="00DC6F21"/>
    <w:rsid w:val="00E85676"/>
    <w:rsid w:val="00E96106"/>
    <w:rsid w:val="00F2700B"/>
    <w:rsid w:val="00F6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535FF"/>
  <w15:docId w15:val="{758058B3-9672-48C7-80EA-0A69AD093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itolo2">
    <w:name w:val="heading 2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666</Words>
  <Characters>3461</Characters>
  <Application>Microsoft Office Word</Application>
  <DocSecurity>0</DocSecurity>
  <Lines>69</Lines>
  <Paragraphs>42</Paragraphs>
  <ScaleCrop>false</ScaleCrop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Luigi Caputi</dc:creator>
  <cp:lastModifiedBy>Luigi Caputi</cp:lastModifiedBy>
  <cp:revision>21</cp:revision>
  <dcterms:created xsi:type="dcterms:W3CDTF">2026-09-02T08:11:00Z</dcterms:created>
  <dcterms:modified xsi:type="dcterms:W3CDTF">2026-09-02T08:42:00Z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22d5b6b0-37e7-4460-b359-a08b137cad26</vt:lpwstr>
  </property>
</Properties>
</file>