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A12"/>
          <w:sz w:val="30"/>
          <w:szCs w:val="30"/>
        </w:rPr>
        <w:t xml:space="preserve">El-Salam Scouting Group — Association Management System</w:t>
      </w:r>
    </w:p>
    <w:p>
      <w:pPr>
        <w:spacing w:after="40" w:line="245"/>
      </w:pPr>
      <w:r>
        <w:rPr>
          <w:rFonts w:ascii="Calibri" w:cs="Calibri" w:eastAsia="Calibri" w:hAnsi="Calibri"/>
          <w:color w:val="40564A"/>
          <w:sz w:val="18"/>
          <w:szCs w:val="18"/>
        </w:rPr>
        <w:t xml:space="preserve">Membership platform and public site for a scouting group of 400+ members.  </w:t>
      </w:r>
      <w:r>
        <w:rPr>
          <w:rFonts w:ascii="Calibri" w:cs="Calibri" w:eastAsia="Calibri" w:hAnsi="Calibri"/>
          <w:b/>
          <w:bCs/>
          <w:color w:val="0B1A12"/>
          <w:sz w:val="18"/>
          <w:szCs w:val="18"/>
        </w:rPr>
        <w:t xml:space="preserve">Youssef Elbasiouny</w:t>
      </w:r>
      <w:r>
        <w:rPr>
          <w:rFonts w:ascii="Calibri" w:cs="Calibri" w:eastAsia="Calibri" w:hAnsi="Calibri"/>
          <w:color w:val="40564A"/>
          <w:sz w:val="18"/>
          <w:szCs w:val="18"/>
        </w:rPr>
        <w:t xml:space="preserve"> — Backend lead</w:t>
      </w:r>
    </w:p>
    <w:p>
      <w:pPr>
        <w:spacing w:after="170" w:line="245"/>
      </w:pPr>
      <w:r>
        <w:rPr>
          <w:rFonts w:ascii="Calibri" w:cs="Calibri" w:eastAsia="Calibri" w:hAnsi="Calibri"/>
          <w:color w:val="40564A"/>
          <w:sz w:val="16"/>
          <w:szCs w:val="16"/>
        </w:rPr>
        <w:t xml:space="preserve">Live: </w:t>
      </w:r>
      <w:r>
        <w:rPr>
          <w:rFonts w:ascii="Calibri" w:cs="Calibri" w:eastAsia="Calibri" w:hAnsi="Calibri"/>
          <w:b/>
          <w:bCs/>
          <w:color w:val="0B1A12"/>
          <w:sz w:val="16"/>
          <w:szCs w:val="16"/>
        </w:rPr>
        <w:t xml:space="preserve">ssg-website-ams.vercel.app</w:t>
      </w:r>
      <w:r>
        <w:rPr>
          <w:rFonts w:ascii="Calibri" w:cs="Calibri" w:eastAsia="Calibri" w:hAnsi="Calibri"/>
          <w:color w:val="40564A"/>
          <w:sz w:val="16"/>
          <w:szCs w:val="16"/>
        </w:rPr>
        <w:t xml:space="preserve">   ·   Stack: </w:t>
      </w:r>
      <w:r>
        <w:rPr>
          <w:rFonts w:ascii="Calibri" w:cs="Calibri" w:eastAsia="Calibri" w:hAnsi="Calibri"/>
          <w:b/>
          <w:bCs/>
          <w:color w:val="0B1A12"/>
          <w:sz w:val="16"/>
          <w:szCs w:val="16"/>
        </w:rPr>
        <w:t xml:space="preserve">Next.js 16 · TypeScript · PostgreSQL (Supabase) · Vercel</w:t>
      </w:r>
    </w:p>
    <w:p>
      <w:pPr>
        <w:pBdr>
          <w:bottom w:val="single" w:color="15803D" w:sz="6" w:space="3"/>
        </w:pBdr>
        <w:spacing w:after="60" w:before="170"/>
      </w:pPr>
      <w:r>
        <w:rPr>
          <w:rFonts w:ascii="Calibri" w:cs="Calibri" w:eastAsia="Calibri" w:hAnsi="Calibri"/>
          <w:b/>
          <w:bCs/>
          <w:color w:val="15803D"/>
          <w:spacing w:val="20"/>
          <w:sz w:val="17"/>
          <w:szCs w:val="17"/>
        </w:rPr>
        <w:t xml:space="preserve">VISION AND MISSION</w:t>
      </w:r>
    </w:p>
    <w:p>
      <w:pPr>
        <w:spacing w:after="80" w:line="245"/>
      </w:pPr>
      <w:r>
        <w:rPr>
          <w:rFonts w:ascii="Calibri" w:cs="Calibri" w:eastAsia="Calibri" w:hAnsi="Calibri"/>
          <w:b/>
          <w:bCs/>
          <w:color w:val="15803D"/>
          <w:sz w:val="18"/>
          <w:szCs w:val="18"/>
        </w:rPr>
        <w:t xml:space="preserve">Vision. </w:t>
      </w:r>
      <w:r>
        <w:rPr>
          <w:rFonts w:ascii="Calibri" w:cs="Calibri" w:eastAsia="Calibri" w:hAnsi="Calibri"/>
          <w:color w:val="0B1A12"/>
          <w:sz w:val="18"/>
          <w:szCs w:val="18"/>
        </w:rPr>
        <w:t xml:space="preserve">A scouting group that spends its time on scouting. Every hour a leader spends chasing a paper form, re-typing a phone number or hunting for a birth certificate is an hour not spent with young people.</w:t>
      </w:r>
    </w:p>
    <w:p>
      <w:pPr>
        <w:spacing w:after="130" w:line="245"/>
      </w:pPr>
      <w:r>
        <w:rPr>
          <w:rFonts w:ascii="Calibri" w:cs="Calibri" w:eastAsia="Calibri" w:hAnsi="Calibri"/>
          <w:b/>
          <w:bCs/>
          <w:color w:val="15803D"/>
          <w:sz w:val="18"/>
          <w:szCs w:val="18"/>
        </w:rPr>
        <w:t xml:space="preserve">Mission. </w:t>
      </w:r>
      <w:r>
        <w:rPr>
          <w:rFonts w:ascii="Calibri" w:cs="Calibri" w:eastAsia="Calibri" w:hAnsi="Calibri"/>
          <w:color w:val="0B1A12"/>
          <w:sz w:val="18"/>
          <w:szCs w:val="18"/>
        </w:rPr>
        <w:t xml:space="preserve">Replace the group's spreadsheets and paper folders with one membership system that is accurate by construction, safe with children's personal data, and simple enough that a volunteer leader can use it on a phone at camp. Records are entered once, by the person they belong to, and stay correct without anyone maintaining them.</w:t>
      </w:r>
    </w:p>
    <w:p>
      <w:pPr>
        <w:pBdr>
          <w:bottom w:val="single" w:color="15803D" w:sz="6" w:space="3"/>
        </w:pBdr>
        <w:spacing w:after="60" w:before="170"/>
      </w:pPr>
      <w:r>
        <w:rPr>
          <w:rFonts w:ascii="Calibri" w:cs="Calibri" w:eastAsia="Calibri" w:hAnsi="Calibri"/>
          <w:b/>
          <w:bCs/>
          <w:color w:val="15803D"/>
          <w:spacing w:val="20"/>
          <w:sz w:val="17"/>
          <w:szCs w:val="17"/>
        </w:rPr>
        <w:t xml:space="preserve">THE PROBLEM, AND WHAT WAS BUILT</w:t>
      </w:r>
    </w:p>
    <w:p>
      <w:pPr>
        <w:spacing w:after="100" w:line="245"/>
      </w:pPr>
      <w:r>
        <w:rPr>
          <w:rFonts w:ascii="Calibri" w:cs="Calibri" w:eastAsia="Calibri" w:hAnsi="Calibri"/>
          <w:color w:val="0B1A12"/>
          <w:sz w:val="18"/>
          <w:szCs w:val="18"/>
        </w:rPr>
        <w:t xml:space="preserve">Membership records lived in spreadsheets and paper folders: duplicated, out of date, and holding children's identity documents with no access control. Four hundred records maintained by hand drift the moment anyone's details change.</w:t>
      </w:r>
    </w:p>
    <w:p>
      <w:pPr>
        <w:spacing w:after="70" w:line="245"/>
      </w:pPr>
      <w:r>
        <w:rPr>
          <w:rFonts w:ascii="Calibri" w:cs="Calibri" w:eastAsia="Calibri" w:hAnsi="Calibri"/>
          <w:color w:val="0B1A12"/>
          <w:sz w:val="18"/>
          <w:szCs w:val="18"/>
        </w:rPr>
        <w:t xml:space="preserve">The system now covers the full member lifecycle:</w:t>
      </w:r>
    </w:p>
    <w:p>
      <w:pPr>
        <w:pStyle w:val="ListParagraph"/>
        <w:numPr>
          <w:ilvl w:val="0"/>
          <w:numId w:val="2"/>
        </w:numPr>
        <w:spacing w:after="50" w:line="245"/>
      </w:pPr>
      <w:r>
        <w:rPr>
          <w:rFonts w:ascii="Calibri" w:cs="Calibri" w:eastAsia="Calibri" w:hAnsi="Calibri"/>
          <w:b/>
          <w:bCs/>
          <w:color w:val="0B1A12"/>
          <w:sz w:val="18"/>
          <w:szCs w:val="18"/>
        </w:rPr>
        <w:t xml:space="preserve">Public site </w:t>
      </w:r>
      <w:r>
        <w:rPr>
          <w:rFonts w:ascii="Calibri" w:cs="Calibri" w:eastAsia="Calibri" w:hAnsi="Calibri"/>
          <w:color w:val="0B1A12"/>
          <w:sz w:val="18"/>
          <w:szCs w:val="18"/>
        </w:rPr>
        <w:t xml:space="preserve">— group history, a camp photo gallery backed by a media library, and a registration route.</w:t>
      </w:r>
    </w:p>
    <w:p>
      <w:pPr>
        <w:pStyle w:val="ListParagraph"/>
        <w:numPr>
          <w:ilvl w:val="0"/>
          <w:numId w:val="2"/>
        </w:numPr>
        <w:spacing w:after="50" w:line="245"/>
      </w:pPr>
      <w:r>
        <w:rPr>
          <w:rFonts w:ascii="Calibri" w:cs="Calibri" w:eastAsia="Calibri" w:hAnsi="Calibri"/>
          <w:b/>
          <w:bCs/>
          <w:color w:val="0B1A12"/>
          <w:sz w:val="18"/>
          <w:szCs w:val="18"/>
        </w:rPr>
        <w:t xml:space="preserve">Registration and onboarding </w:t>
      </w:r>
      <w:r>
        <w:rPr>
          <w:rFonts w:ascii="Calibri" w:cs="Calibri" w:eastAsia="Calibri" w:hAnsi="Calibri"/>
          <w:color w:val="0B1A12"/>
          <w:sz w:val="18"/>
          <w:szCs w:val="18"/>
        </w:rPr>
        <w:t xml:space="preserve">— scouts self-register; leaders join with single-use invite codes. Each completes a typed form validated in the browser, again on the server, and again by database constraints.</w:t>
      </w:r>
    </w:p>
    <w:p>
      <w:pPr>
        <w:pStyle w:val="ListParagraph"/>
        <w:numPr>
          <w:ilvl w:val="0"/>
          <w:numId w:val="2"/>
        </w:numPr>
        <w:spacing w:after="50" w:line="245"/>
      </w:pPr>
      <w:r>
        <w:rPr>
          <w:rFonts w:ascii="Calibri" w:cs="Calibri" w:eastAsia="Calibri" w:hAnsi="Calibri"/>
          <w:b/>
          <w:bCs/>
          <w:color w:val="0B1A12"/>
          <w:sz w:val="18"/>
          <w:szCs w:val="18"/>
        </w:rPr>
        <w:t xml:space="preserve">Document handling </w:t>
      </w:r>
      <w:r>
        <w:rPr>
          <w:rFonts w:ascii="Calibri" w:cs="Calibri" w:eastAsia="Calibri" w:hAnsi="Calibri"/>
          <w:color w:val="0B1A12"/>
          <w:sz w:val="18"/>
          <w:szCs w:val="18"/>
        </w:rPr>
        <w:t xml:space="preserve">— birth certificates (scouts) and ID cards (leaders) upload from the browser straight to private object storage, are compressed on the device first, and are only ever served through links that expire in 60 seconds.</w:t>
      </w:r>
    </w:p>
    <w:p>
      <w:pPr>
        <w:pStyle w:val="ListParagraph"/>
        <w:numPr>
          <w:ilvl w:val="0"/>
          <w:numId w:val="2"/>
        </w:numPr>
        <w:spacing w:after="50" w:line="245"/>
      </w:pPr>
      <w:r>
        <w:rPr>
          <w:rFonts w:ascii="Calibri" w:cs="Calibri" w:eastAsia="Calibri" w:hAnsi="Calibri"/>
          <w:b/>
          <w:bCs/>
          <w:color w:val="0B1A12"/>
          <w:sz w:val="18"/>
          <w:szCs w:val="18"/>
        </w:rPr>
        <w:t xml:space="preserve">Administration </w:t>
      </w:r>
      <w:r>
        <w:rPr>
          <w:rFonts w:ascii="Calibri" w:cs="Calibri" w:eastAsia="Calibri" w:hAnsi="Calibri"/>
          <w:color w:val="0B1A12"/>
          <w:sz w:val="18"/>
          <w:szCs w:val="18"/>
        </w:rPr>
        <w:t xml:space="preserve">— a four-tier role hierarchy, member and leader rosters, invite management, per-member password recovery links, and a bulk document export.</w:t>
      </w:r>
    </w:p>
    <w:p>
      <w:pPr>
        <w:pBdr>
          <w:bottom w:val="single" w:color="15803D" w:sz="6" w:space="3"/>
        </w:pBdr>
        <w:spacing w:after="60" w:before="170"/>
      </w:pPr>
      <w:r>
        <w:rPr>
          <w:rFonts w:ascii="Calibri" w:cs="Calibri" w:eastAsia="Calibri" w:hAnsi="Calibri"/>
          <w:b/>
          <w:bCs/>
          <w:color w:val="15803D"/>
          <w:spacing w:val="20"/>
          <w:sz w:val="17"/>
          <w:szCs w:val="17"/>
        </w:rPr>
        <w:t xml:space="preserve">ARCHITECTURE AND ENGINEERING DECISIONS</w:t>
      </w:r>
    </w:p>
    <w:p>
      <w:pPr>
        <w:spacing w:after="80" w:line="245"/>
      </w:pPr>
      <w:r>
        <w:rPr>
          <w:rFonts w:ascii="Calibri" w:cs="Calibri" w:eastAsia="Calibri" w:hAnsi="Calibri"/>
          <w:b/>
          <w:bCs/>
          <w:color w:val="0B1A12"/>
          <w:sz w:val="18"/>
          <w:szCs w:val="18"/>
        </w:rPr>
        <w:t xml:space="preserve">Roles are decided by the database, not the client. </w:t>
      </w:r>
      <w:r>
        <w:rPr>
          <w:rFonts w:ascii="Calibri" w:cs="Calibri" w:eastAsia="Calibri" w:hAnsi="Calibri"/>
          <w:color w:val="0B1A12"/>
          <w:sz w:val="18"/>
          <w:szCs w:val="18"/>
        </w:rPr>
        <w:t xml:space="preserve">Supabase exposes an authenticated update endpoint to the browser, so a role stored in user metadata can be edited by the user it describes — any scout could have promoted themselves. Roles are written by a SECURITY DEFINER trigger on signup and a BEFORE UPDATE trigger rejects any client-side change.</w:t>
      </w:r>
    </w:p>
    <w:p>
      <w:pPr>
        <w:spacing w:after="80" w:line="245"/>
      </w:pPr>
      <w:r>
        <w:rPr>
          <w:rFonts w:ascii="Calibri" w:cs="Calibri" w:eastAsia="Calibri" w:hAnsi="Calibri"/>
          <w:b/>
          <w:bCs/>
          <w:color w:val="0B1A12"/>
          <w:sz w:val="18"/>
          <w:szCs w:val="18"/>
        </w:rPr>
        <w:t xml:space="preserve">Three independent layers of authorisation. </w:t>
      </w:r>
      <w:r>
        <w:rPr>
          <w:rFonts w:ascii="Calibri" w:cs="Calibri" w:eastAsia="Calibri" w:hAnsi="Calibri"/>
          <w:color w:val="0B1A12"/>
          <w:sz w:val="18"/>
          <w:szCs w:val="18"/>
        </w:rPr>
        <w:t xml:space="preserve">Session middleware handles redirects only and is explicitly not a security boundary; a data-access layer re-verifies every request against the auth server; row-level security (33 policies) sits closest to the data. A Server Action reached by direct POST still hits all three.</w:t>
      </w:r>
    </w:p>
    <w:p>
      <w:pPr>
        <w:spacing w:after="80" w:line="245"/>
      </w:pPr>
      <w:r>
        <w:rPr>
          <w:rFonts w:ascii="Calibri" w:cs="Calibri" w:eastAsia="Calibri" w:hAnsi="Calibri"/>
          <w:b/>
          <w:bCs/>
          <w:color w:val="0B1A12"/>
          <w:sz w:val="18"/>
          <w:szCs w:val="18"/>
        </w:rPr>
        <w:t xml:space="preserve">Derived data is never stored. </w:t>
      </w:r>
      <w:r>
        <w:rPr>
          <w:rFonts w:ascii="Calibri" w:cs="Calibri" w:eastAsia="Calibri" w:hAnsi="Calibri"/>
          <w:color w:val="0B1A12"/>
          <w:sz w:val="18"/>
          <w:szCs w:val="18"/>
        </w:rPr>
        <w:t xml:space="preserve">Age is computed from date of birth on every read rather than saved as a column, so it cannot be wrong the day after a birthday. The same rule removed three duplicated fields from the leaders schema.</w:t>
      </w:r>
    </w:p>
    <w:p>
      <w:pPr>
        <w:spacing w:after="130" w:line="245"/>
      </w:pPr>
      <w:r>
        <w:rPr>
          <w:rFonts w:ascii="Calibri" w:cs="Calibri" w:eastAsia="Calibri" w:hAnsi="Calibri"/>
          <w:b/>
          <w:bCs/>
          <w:color w:val="0B1A12"/>
          <w:sz w:val="18"/>
          <w:szCs w:val="18"/>
        </w:rPr>
        <w:t xml:space="preserve">Uploads bypass the server entirely. </w:t>
      </w:r>
      <w:r>
        <w:rPr>
          <w:rFonts w:ascii="Calibri" w:cs="Calibri" w:eastAsia="Calibri" w:hAnsi="Calibri"/>
          <w:color w:val="0B1A12"/>
          <w:sz w:val="18"/>
          <w:szCs w:val="18"/>
        </w:rPr>
        <w:t xml:space="preserve">The browser requests a short-lived signed URL, whose object key is built server-side from the session so it cannot be aimed at another member's folder, then uploads directly to storage. This keeps files under the platform's 4.5 MB request limit and keeps identity documents out of server memory.</w:t>
      </w:r>
    </w:p>
    <w:p>
      <w:pPr>
        <w:pBdr>
          <w:bottom w:val="single" w:color="15803D" w:sz="6" w:space="3"/>
        </w:pBdr>
        <w:spacing w:after="60" w:before="170"/>
      </w:pPr>
      <w:r>
        <w:rPr>
          <w:rFonts w:ascii="Calibri" w:cs="Calibri" w:eastAsia="Calibri" w:hAnsi="Calibri"/>
          <w:b/>
          <w:bCs/>
          <w:color w:val="15803D"/>
          <w:spacing w:val="20"/>
          <w:sz w:val="17"/>
          <w:szCs w:val="17"/>
        </w:rPr>
        <w:t xml:space="preserve">DATA MODEL AND ENGINEERING PRACTICE</w:t>
      </w:r>
    </w:p>
    <w:p>
      <w:pPr>
        <w:spacing w:after="90" w:line="245"/>
      </w:pPr>
      <w:r>
        <w:rPr>
          <w:rFonts w:ascii="Calibri" w:cs="Calibri" w:eastAsia="Calibri" w:hAnsi="Calibri"/>
          <w:color w:val="0B1A12"/>
          <w:sz w:val="18"/>
          <w:szCs w:val="18"/>
        </w:rPr>
        <w:t xml:space="preserve">PostgreSQL, normalised to 3NF: 6 tables across 15 sequential migrations (~1,700 lines of SQL), with CHECK constraints on every format-sensitive field, a many-to-many junction for leader committees, and 33 row-level-security policies. Roughly 7,000 lines of TypeScript.</w:t>
      </w:r>
    </w:p>
    <w:p>
      <w:pPr>
        <w:pStyle w:val="ListParagraph"/>
        <w:numPr>
          <w:ilvl w:val="0"/>
          <w:numId w:val="2"/>
        </w:numPr>
        <w:spacing w:after="50" w:line="245"/>
      </w:pPr>
      <w:r>
        <w:rPr>
          <w:rFonts w:ascii="Calibri" w:cs="Calibri" w:eastAsia="Calibri" w:hAnsi="Calibri"/>
          <w:b/>
          <w:bCs/>
          <w:color w:val="0B1A12"/>
          <w:sz w:val="18"/>
          <w:szCs w:val="18"/>
        </w:rPr>
        <w:t xml:space="preserve">Continuous integration </w:t>
      </w:r>
      <w:r>
        <w:rPr>
          <w:rFonts w:ascii="Calibri" w:cs="Calibri" w:eastAsia="Calibri" w:hAnsi="Calibri"/>
          <w:color w:val="0B1A12"/>
          <w:sz w:val="18"/>
          <w:szCs w:val="18"/>
        </w:rPr>
        <w:t xml:space="preserve">— every push runs type generation, TypeScript, ESLint and a production build; the branch does not merge red.</w:t>
      </w:r>
    </w:p>
    <w:p>
      <w:pPr>
        <w:pStyle w:val="ListParagraph"/>
        <w:numPr>
          <w:ilvl w:val="0"/>
          <w:numId w:val="2"/>
        </w:numPr>
        <w:spacing w:after="50" w:line="245"/>
      </w:pPr>
      <w:r>
        <w:rPr>
          <w:rFonts w:ascii="Calibri" w:cs="Calibri" w:eastAsia="Calibri" w:hAnsi="Calibri"/>
          <w:b/>
          <w:bCs/>
          <w:color w:val="0B1A12"/>
          <w:sz w:val="18"/>
          <w:szCs w:val="18"/>
        </w:rPr>
        <w:t xml:space="preserve">Accessibility </w:t>
      </w:r>
      <w:r>
        <w:rPr>
          <w:rFonts w:ascii="Calibri" w:cs="Calibri" w:eastAsia="Calibri" w:hAnsi="Calibri"/>
          <w:color w:val="0B1A12"/>
          <w:sz w:val="18"/>
          <w:szCs w:val="18"/>
        </w:rPr>
        <w:t xml:space="preserve">— WCAG 2.1 AA verified with axe-core across the public pages in both light and dark themes; the colour palette was chosen by measuring contrast ratios, not by eye.</w:t>
      </w:r>
    </w:p>
    <w:p>
      <w:pPr>
        <w:pStyle w:val="ListParagraph"/>
        <w:numPr>
          <w:ilvl w:val="0"/>
          <w:numId w:val="2"/>
        </w:numPr>
        <w:spacing w:after="50" w:line="245"/>
      </w:pPr>
      <w:r>
        <w:rPr>
          <w:rFonts w:ascii="Calibri" w:cs="Calibri" w:eastAsia="Calibri" w:hAnsi="Calibri"/>
          <w:b/>
          <w:bCs/>
          <w:color w:val="0B1A12"/>
          <w:sz w:val="18"/>
          <w:szCs w:val="18"/>
        </w:rPr>
        <w:t xml:space="preserve">Error reporting as policy </w:t>
      </w:r>
      <w:r>
        <w:rPr>
          <w:rFonts w:ascii="Calibri" w:cs="Calibri" w:eastAsia="Calibri" w:hAnsi="Calibri"/>
          <w:color w:val="0B1A12"/>
          <w:sz w:val="18"/>
          <w:szCs w:val="18"/>
        </w:rPr>
        <w:t xml:space="preserve">— failures surface the actual database code and the migration that fixes them. Generic “please try again” messages cost this project two days of debugging and were removed deliberately.</w:t>
      </w:r>
    </w:p>
    <w:p>
      <w:pPr>
        <w:pStyle w:val="ListParagraph"/>
        <w:numPr>
          <w:ilvl w:val="0"/>
          <w:numId w:val="2"/>
        </w:numPr>
        <w:spacing w:after="50" w:line="245"/>
      </w:pPr>
      <w:r>
        <w:rPr>
          <w:rFonts w:ascii="Calibri" w:cs="Calibri" w:eastAsia="Calibri" w:hAnsi="Calibri"/>
          <w:b/>
          <w:bCs/>
          <w:color w:val="0B1A12"/>
          <w:sz w:val="18"/>
          <w:szCs w:val="18"/>
        </w:rPr>
        <w:t xml:space="preserve">Bilingual by design </w:t>
      </w:r>
      <w:r>
        <w:rPr>
          <w:rFonts w:ascii="Calibri" w:cs="Calibri" w:eastAsia="Calibri" w:hAnsi="Calibri"/>
          <w:color w:val="0B1A12"/>
          <w:sz w:val="18"/>
          <w:szCs w:val="18"/>
        </w:rPr>
        <w:t xml:space="preserve">— every member-facing label carries English and Arabic, and filenames preserve Arabic characters rather than transliterating them away.</w:t>
      </w:r>
    </w:p>
    <w:p>
      <w:r>
        <w:br w:type="page"/>
      </w:r>
    </w:p>
    <w:p>
      <w:pPr>
        <w:pBdr>
          <w:bottom w:val="single" w:color="15803D" w:sz="6" w:space="3"/>
        </w:pBdr>
        <w:spacing w:after="60" w:before="170"/>
      </w:pPr>
      <w:r>
        <w:rPr>
          <w:rFonts w:ascii="Calibri" w:cs="Calibri" w:eastAsia="Calibri" w:hAnsi="Calibri"/>
          <w:b/>
          <w:bCs/>
          <w:color w:val="15803D"/>
          <w:spacing w:val="20"/>
          <w:sz w:val="17"/>
          <w:szCs w:val="17"/>
        </w:rPr>
        <w:t xml:space="preserve">TECHNOLOGY, SERVICES AND CREDENTIALS</w:t>
      </w:r>
    </w:p>
    <w:p>
      <w:pPr>
        <w:spacing w:after="110" w:line="245"/>
      </w:pPr>
      <w:r>
        <w:rPr>
          <w:rFonts w:ascii="Calibri" w:cs="Calibri" w:eastAsia="Calibri" w:hAnsi="Calibri"/>
          <w:color w:val="40564A"/>
          <w:sz w:val="17"/>
          <w:szCs w:val="17"/>
        </w:rPr>
        <w:t xml:space="preserve">Every third-party service the system depends on. All are on free tiers; the project has no running cost.</w:t>
      </w:r>
    </w:p>
    <w:tbl>
      <w:tblPr>
        <w:tblW w:type="dxa" w:w="9360"/>
        <w:tblBorders>
          <w:top w:val="single" w:color="DFEAE3" w:sz="2"/>
          <w:left w:val="none" w:color="FFFFFF" w:sz="0"/>
          <w:bottom w:val="single" w:color="DFEAE3" w:sz="2"/>
          <w:right w:val="none" w:color="FFFFFF" w:sz="0"/>
          <w:insideH w:val="single" w:color="DFEAE3" w:sz="2"/>
          <w:insideV w:val="none" w:color="FFFFFF" w:sz="0"/>
        </w:tblBorders>
      </w:tblPr>
      <w:tblGrid>
        <w:gridCol w:w="2050"/>
        <w:gridCol w:w="1500"/>
        <w:gridCol w:w="3110"/>
        <w:gridCol w:w="2700"/>
      </w:tblGrid>
      <w:tr>
        <w:trPr>
          <w:tblHeader/>
        </w:trPr>
        <w:tc>
          <w:tcPr>
            <w:tcW w:type="dxa" w:w="205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Service</w:t>
            </w:r>
          </w:p>
        </w:tc>
        <w:tc>
          <w:tcPr>
            <w:tcW w:type="dxa" w:w="150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Role</w:t>
            </w:r>
          </w:p>
        </w:tc>
        <w:tc>
          <w:tcPr>
            <w:tcW w:type="dxa" w:w="311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What it does here</w:t>
            </w:r>
          </w:p>
        </w:tc>
        <w:tc>
          <w:tcPr>
            <w:tcW w:type="dxa" w:w="270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Account / identifier</w:t>
            </w:r>
          </w:p>
        </w:tc>
      </w:tr>
      <w:tr>
        <w:tc>
          <w:tcPr>
            <w:tcW w:type="dxa" w:w="2050"/>
            <w:tcMar>
              <w:top w:type="dxa" w:w="55"/>
              <w:left w:type="dxa" w:w="90"/>
              <w:bottom w:type="dxa" w:w="55"/>
              <w:right w:type="dxa" w:w="90"/>
            </w:tcMar>
          </w:tcPr>
          <w:p>
            <w:pPr>
              <w:spacing w:after="0" w:line="230"/>
            </w:pPr>
            <w:r>
              <w:rPr>
                <w:rFonts w:ascii="Calibri" w:cs="Calibri" w:eastAsia="Calibri" w:hAnsi="Calibri"/>
                <w:b/>
                <w:bCs/>
                <w:color w:val="0B1A12"/>
                <w:sz w:val="16"/>
                <w:szCs w:val="16"/>
              </w:rPr>
              <w:t xml:space="preserve">Supabase</w:t>
            </w:r>
          </w:p>
        </w:tc>
        <w:tc>
          <w:tcPr>
            <w:tcW w:type="dxa" w:w="15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Database + auth</w:t>
            </w:r>
          </w:p>
        </w:tc>
        <w:tc>
          <w:tcPr>
            <w:tcW w:type="dxa" w:w="311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PostgreSQL, authentication, row-level security, storage of all member records</w:t>
            </w:r>
          </w:p>
        </w:tc>
        <w:tc>
          <w:tcPr>
            <w:tcW w:type="dxa" w:w="27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Project on supabase.com</w:t>
            </w:r>
          </w:p>
        </w:tc>
      </w:tr>
      <w:tr>
        <w:tc>
          <w:tcPr>
            <w:tcW w:type="dxa" w:w="2050"/>
            <w:tcMar>
              <w:top w:type="dxa" w:w="55"/>
              <w:left w:type="dxa" w:w="90"/>
              <w:bottom w:type="dxa" w:w="55"/>
              <w:right w:type="dxa" w:w="90"/>
            </w:tcMar>
          </w:tcPr>
          <w:p>
            <w:pPr>
              <w:spacing w:after="0" w:line="230"/>
            </w:pPr>
            <w:r>
              <w:rPr>
                <w:rFonts w:ascii="Calibri" w:cs="Calibri" w:eastAsia="Calibri" w:hAnsi="Calibri"/>
                <w:b/>
                <w:bCs/>
                <w:color w:val="0B1A12"/>
                <w:sz w:val="16"/>
                <w:szCs w:val="16"/>
              </w:rPr>
              <w:t xml:space="preserve">Backblaze B2</w:t>
            </w:r>
          </w:p>
        </w:tc>
        <w:tc>
          <w:tcPr>
            <w:tcW w:type="dxa" w:w="15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Object storage</w:t>
            </w:r>
          </w:p>
        </w:tc>
        <w:tc>
          <w:tcPr>
            <w:tcW w:type="dxa" w:w="311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Birth certificates and ID cards. Private bucket, S3-compatible API, signed URLs only</w:t>
            </w:r>
          </w:p>
        </w:tc>
        <w:tc>
          <w:tcPr>
            <w:tcW w:type="dxa" w:w="2700"/>
            <w:tcMar>
              <w:top w:type="dxa" w:w="55"/>
              <w:left w:type="dxa" w:w="90"/>
              <w:bottom w:type="dxa" w:w="55"/>
              <w:right w:type="dxa" w:w="90"/>
            </w:tcMar>
          </w:tcPr>
          <w:p>
            <w:pPr>
              <w:spacing w:after="0" w:line="230"/>
            </w:pPr>
            <w:r>
              <w:rPr>
                <w:rFonts w:ascii="Consolas" w:cs="Consolas" w:eastAsia="Consolas" w:hAnsi="Consolas"/>
                <w:b w:val="false"/>
                <w:bCs w:val="false"/>
                <w:color w:val="0B1A12"/>
                <w:sz w:val="14"/>
                <w:szCs w:val="14"/>
              </w:rPr>
              <w:t xml:space="preserve">Bucket SSG.AMS.BC · eu-central-003</w:t>
            </w:r>
          </w:p>
        </w:tc>
      </w:tr>
      <w:tr>
        <w:tc>
          <w:tcPr>
            <w:tcW w:type="dxa" w:w="2050"/>
            <w:tcMar>
              <w:top w:type="dxa" w:w="55"/>
              <w:left w:type="dxa" w:w="90"/>
              <w:bottom w:type="dxa" w:w="55"/>
              <w:right w:type="dxa" w:w="90"/>
            </w:tcMar>
          </w:tcPr>
          <w:p>
            <w:pPr>
              <w:spacing w:after="0" w:line="230"/>
            </w:pPr>
            <w:r>
              <w:rPr>
                <w:rFonts w:ascii="Calibri" w:cs="Calibri" w:eastAsia="Calibri" w:hAnsi="Calibri"/>
                <w:b/>
                <w:bCs/>
                <w:color w:val="0B1A12"/>
                <w:sz w:val="16"/>
                <w:szCs w:val="16"/>
              </w:rPr>
              <w:t xml:space="preserve">Cloudinary</w:t>
            </w:r>
          </w:p>
        </w:tc>
        <w:tc>
          <w:tcPr>
            <w:tcW w:type="dxa" w:w="15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Media / CDN</w:t>
            </w:r>
          </w:p>
        </w:tc>
        <w:tc>
          <w:tcPr>
            <w:tcW w:type="dxa" w:w="311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Camp photo gallery; folders in the media library become albums automatically</w:t>
            </w:r>
          </w:p>
        </w:tc>
        <w:tc>
          <w:tcPr>
            <w:tcW w:type="dxa" w:w="27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Media library · gallery/ folder</w:t>
            </w:r>
          </w:p>
        </w:tc>
      </w:tr>
      <w:tr>
        <w:tc>
          <w:tcPr>
            <w:tcW w:type="dxa" w:w="2050"/>
            <w:tcMar>
              <w:top w:type="dxa" w:w="55"/>
              <w:left w:type="dxa" w:w="90"/>
              <w:bottom w:type="dxa" w:w="55"/>
              <w:right w:type="dxa" w:w="90"/>
            </w:tcMar>
          </w:tcPr>
          <w:p>
            <w:pPr>
              <w:spacing w:after="0" w:line="230"/>
            </w:pPr>
            <w:r>
              <w:rPr>
                <w:rFonts w:ascii="Calibri" w:cs="Calibri" w:eastAsia="Calibri" w:hAnsi="Calibri"/>
                <w:b/>
                <w:bCs/>
                <w:color w:val="0B1A12"/>
                <w:sz w:val="16"/>
                <w:szCs w:val="16"/>
              </w:rPr>
              <w:t xml:space="preserve">Resend</w:t>
            </w:r>
          </w:p>
        </w:tc>
        <w:tc>
          <w:tcPr>
            <w:tcW w:type="dxa" w:w="15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Transactional email</w:t>
            </w:r>
          </w:p>
        </w:tc>
        <w:tc>
          <w:tcPr>
            <w:tcW w:type="dxa" w:w="311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Admin notifications now; sign-up confirmation and password reset once a domain is verified</w:t>
            </w:r>
          </w:p>
        </w:tc>
        <w:tc>
          <w:tcPr>
            <w:tcW w:type="dxa" w:w="27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Free tier — 3,000/mo, 100/day</w:t>
            </w:r>
          </w:p>
        </w:tc>
      </w:tr>
      <w:tr>
        <w:tc>
          <w:tcPr>
            <w:tcW w:type="dxa" w:w="2050"/>
            <w:tcMar>
              <w:top w:type="dxa" w:w="55"/>
              <w:left w:type="dxa" w:w="90"/>
              <w:bottom w:type="dxa" w:w="55"/>
              <w:right w:type="dxa" w:w="90"/>
            </w:tcMar>
          </w:tcPr>
          <w:p>
            <w:pPr>
              <w:spacing w:after="0" w:line="230"/>
            </w:pPr>
            <w:r>
              <w:rPr>
                <w:rFonts w:ascii="Calibri" w:cs="Calibri" w:eastAsia="Calibri" w:hAnsi="Calibri"/>
                <w:b/>
                <w:bCs/>
                <w:color w:val="0B1A12"/>
                <w:sz w:val="16"/>
                <w:szCs w:val="16"/>
              </w:rPr>
              <w:t xml:space="preserve">Vercel</w:t>
            </w:r>
          </w:p>
        </w:tc>
        <w:tc>
          <w:tcPr>
            <w:tcW w:type="dxa" w:w="15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Hosting</w:t>
            </w:r>
          </w:p>
        </w:tc>
        <w:tc>
          <w:tcPr>
            <w:tcW w:type="dxa" w:w="311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Production and preview deployments, push-to-deploy from the main branch</w:t>
            </w:r>
          </w:p>
        </w:tc>
        <w:tc>
          <w:tcPr>
            <w:tcW w:type="dxa" w:w="27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ssg-website-ams.vercel.app</w:t>
            </w:r>
          </w:p>
        </w:tc>
      </w:tr>
      <w:tr>
        <w:tc>
          <w:tcPr>
            <w:tcW w:type="dxa" w:w="2050"/>
            <w:tcMar>
              <w:top w:type="dxa" w:w="55"/>
              <w:left w:type="dxa" w:w="90"/>
              <w:bottom w:type="dxa" w:w="55"/>
              <w:right w:type="dxa" w:w="90"/>
            </w:tcMar>
          </w:tcPr>
          <w:p>
            <w:pPr>
              <w:spacing w:after="0" w:line="230"/>
            </w:pPr>
            <w:r>
              <w:rPr>
                <w:rFonts w:ascii="Calibri" w:cs="Calibri" w:eastAsia="Calibri" w:hAnsi="Calibri"/>
                <w:b/>
                <w:bCs/>
                <w:color w:val="0B1A12"/>
                <w:sz w:val="16"/>
                <w:szCs w:val="16"/>
              </w:rPr>
              <w:t xml:space="preserve">GitHub</w:t>
            </w:r>
          </w:p>
        </w:tc>
        <w:tc>
          <w:tcPr>
            <w:tcW w:type="dxa" w:w="15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Source + CI</w:t>
            </w:r>
          </w:p>
        </w:tc>
        <w:tc>
          <w:tcPr>
            <w:tcW w:type="dxa" w:w="311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Repository and GitHub Actions pipeline</w:t>
            </w:r>
          </w:p>
        </w:tc>
        <w:tc>
          <w:tcPr>
            <w:tcW w:type="dxa" w:w="27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Private repository</w:t>
            </w:r>
          </w:p>
        </w:tc>
      </w:tr>
    </w:tbl>
    <w:p>
      <w:pPr>
        <w:spacing w:after="110" w:line="245"/>
      </w:pPr>
      <w:r>
        <w:rPr>
          <w:rFonts w:ascii="Calibri" w:cs="Calibri" w:eastAsia="Calibri" w:hAnsi="Calibri"/>
          <w:color w:val="0B1A12"/>
          <w:sz w:val="18"/>
          <w:szCs w:val="18"/>
        </w:rPr>
        <w:t xml:space="preserve"/>
      </w:r>
    </w:p>
    <w:p>
      <w:pPr>
        <w:pBdr>
          <w:bottom w:val="single" w:color="15803D" w:sz="6" w:space="3"/>
        </w:pBdr>
        <w:spacing w:after="60" w:before="170"/>
      </w:pPr>
      <w:r>
        <w:rPr>
          <w:rFonts w:ascii="Calibri" w:cs="Calibri" w:eastAsia="Calibri" w:hAnsi="Calibri"/>
          <w:b/>
          <w:bCs/>
          <w:color w:val="15803D"/>
          <w:spacing w:val="20"/>
          <w:sz w:val="17"/>
          <w:szCs w:val="17"/>
        </w:rPr>
        <w:t xml:space="preserve">CONFIGURATION KEYS</w:t>
      </w:r>
    </w:p>
    <w:p>
      <w:pPr>
        <w:spacing w:after="110" w:line="245"/>
      </w:pPr>
      <w:r>
        <w:rPr>
          <w:rFonts w:ascii="Calibri" w:cs="Calibri" w:eastAsia="Calibri" w:hAnsi="Calibri"/>
          <w:color w:val="0B1A12"/>
          <w:sz w:val="17"/>
          <w:szCs w:val="17"/>
        </w:rPr>
        <w:t xml:space="preserve">Sixteen variables, held in Vercel's encrypted store and a git-ignored local file. </w:t>
      </w:r>
      <w:r>
        <w:rPr>
          <w:rFonts w:ascii="Calibri" w:cs="Calibri" w:eastAsia="Calibri" w:hAnsi="Calibri"/>
          <w:b/>
          <w:bCs/>
          <w:color w:val="0B1A12"/>
          <w:sz w:val="17"/>
          <w:szCs w:val="17"/>
        </w:rPr>
        <w:t xml:space="preserve">No secret value appears in this document, the repository, or any log.</w:t>
      </w:r>
      <w:r>
        <w:rPr>
          <w:rFonts w:ascii="Calibri" w:cs="Calibri" w:eastAsia="Calibri" w:hAnsi="Calibri"/>
          <w:color w:val="0B1A12"/>
          <w:sz w:val="17"/>
          <w:szCs w:val="17"/>
        </w:rPr>
        <w:t xml:space="preserve"> Only NEXT_PUBLIC_ variables reach the browser; each is safe to expose by design.</w:t>
      </w:r>
    </w:p>
    <w:tbl>
      <w:tblPr>
        <w:tblW w:type="dxa" w:w="9360"/>
        <w:tblBorders>
          <w:top w:val="single" w:color="DFEAE3" w:sz="2"/>
          <w:left w:val="none" w:color="FFFFFF" w:sz="0"/>
          <w:bottom w:val="single" w:color="DFEAE3" w:sz="2"/>
          <w:right w:val="none" w:color="FFFFFF" w:sz="0"/>
          <w:insideH w:val="single" w:color="DFEAE3" w:sz="2"/>
          <w:insideV w:val="none" w:color="FFFFFF" w:sz="0"/>
        </w:tblBorders>
      </w:tblPr>
      <w:tblGrid>
        <w:gridCol w:w="3260"/>
        <w:gridCol w:w="1300"/>
        <w:gridCol w:w="4800"/>
      </w:tblGrid>
      <w:tr>
        <w:trPr>
          <w:tblHeader/>
        </w:trPr>
        <w:tc>
          <w:tcPr>
            <w:tcW w:type="dxa" w:w="326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Variable</w:t>
            </w:r>
          </w:p>
        </w:tc>
        <w:tc>
          <w:tcPr>
            <w:tcW w:type="dxa" w:w="130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Service</w:t>
            </w:r>
          </w:p>
        </w:tc>
        <w:tc>
          <w:tcPr>
            <w:tcW w:type="dxa" w:w="4800"/>
            <w:shd w:fill="F5FAF7" w:color="auto" w:val="clear"/>
            <w:tcMar>
              <w:top w:type="dxa" w:w="55"/>
              <w:left w:type="dxa" w:w="90"/>
              <w:bottom w:type="dxa" w:w="55"/>
              <w:right w:type="dxa" w:w="90"/>
            </w:tcMar>
          </w:tcPr>
          <w:p>
            <w:pPr>
              <w:spacing w:after="0" w:line="230"/>
            </w:pPr>
            <w:r>
              <w:rPr>
                <w:rFonts w:ascii="Calibri" w:cs="Calibri" w:eastAsia="Calibri" w:hAnsi="Calibri"/>
                <w:b/>
                <w:bCs/>
                <w:color w:val="15803D"/>
                <w:sz w:val="15"/>
                <w:szCs w:val="15"/>
              </w:rPr>
              <w:t xml:space="preserve">Purpose and exposure</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0B1A12"/>
                <w:sz w:val="14"/>
                <w:szCs w:val="14"/>
              </w:rPr>
              <w:t xml:space="preserve">NEXT_PUBLIC_SUPABASE_URL / _ANON_KEY</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Supabase</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Endpoint and browser key. Public by design — row-level security is what actually restricts access.</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B91C1C"/>
                <w:sz w:val="14"/>
                <w:szCs w:val="14"/>
              </w:rPr>
              <w:t xml:space="preserve">SUPABASE_SERVICE_ROLE_KEY</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Supabase</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Bypasses all security rules. Server-only: account deletion and recovery links.</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B91C1C"/>
                <w:sz w:val="14"/>
                <w:szCs w:val="14"/>
              </w:rPr>
              <w:t xml:space="preserve">B2_KEY_ID / B2_APP_KEY</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Backblaze</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Scoped to one bucket, read and write. Server-only.</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0B1A12"/>
                <w:sz w:val="14"/>
                <w:szCs w:val="14"/>
              </w:rPr>
              <w:t xml:space="preserve">B2_BUCKET / _ENDPOINT / _REGION</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Backblaze</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Bucket address. Not secret.</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B91C1C"/>
                <w:sz w:val="14"/>
                <w:szCs w:val="14"/>
              </w:rPr>
              <w:t xml:space="preserve">CLOUDINARY_API_KEY / _API_SECRET</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Cloudinary</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Media library access. Server-only, enforced by a server-only import.</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0B1A12"/>
                <w:sz w:val="14"/>
                <w:szCs w:val="14"/>
              </w:rPr>
              <w:t xml:space="preserve">NEXT_PUBLIC_CLOUDINARY_CLOUD_NAME</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Cloudinary</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Delivery URL prefix. Public by design.</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B91C1C"/>
                <w:sz w:val="14"/>
                <w:szCs w:val="14"/>
              </w:rPr>
              <w:t xml:space="preserve">RESEND_API_KEY</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Resend</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Sending access only. Server-only.</w:t>
            </w:r>
          </w:p>
        </w:tc>
      </w:tr>
      <w:tr>
        <w:tc>
          <w:tcPr>
            <w:tcW w:type="dxa" w:w="3260"/>
            <w:tcMar>
              <w:top w:type="dxa" w:w="55"/>
              <w:left w:type="dxa" w:w="90"/>
              <w:bottom w:type="dxa" w:w="55"/>
              <w:right w:type="dxa" w:w="90"/>
            </w:tcMar>
          </w:tcPr>
          <w:p>
            <w:pPr>
              <w:spacing w:after="0" w:line="230"/>
            </w:pPr>
            <w:r>
              <w:rPr>
                <w:rFonts w:ascii="Consolas" w:cs="Consolas" w:eastAsia="Consolas" w:hAnsi="Consolas"/>
                <w:b w:val="false"/>
                <w:bCs w:val="false"/>
                <w:color w:val="0B1A12"/>
                <w:sz w:val="14"/>
                <w:szCs w:val="14"/>
              </w:rPr>
              <w:t xml:space="preserve">EMAIL_FROM / ADMIN_NOTIFICATION_EMAILS / NEXT_PUBLIC_SITE_URL</w:t>
            </w:r>
          </w:p>
        </w:tc>
        <w:tc>
          <w:tcPr>
            <w:tcW w:type="dxa" w:w="13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w:t>
            </w:r>
          </w:p>
        </w:tc>
        <w:tc>
          <w:tcPr>
            <w:tcW w:type="dxa" w:w="4800"/>
            <w:tcMar>
              <w:top w:type="dxa" w:w="55"/>
              <w:left w:type="dxa" w:w="90"/>
              <w:bottom w:type="dxa" w:w="55"/>
              <w:right w:type="dxa" w:w="90"/>
            </w:tcMar>
          </w:tcPr>
          <w:p>
            <w:pPr>
              <w:spacing w:after="0" w:line="230"/>
            </w:pPr>
            <w:r>
              <w:rPr>
                <w:rFonts w:ascii="Calibri" w:cs="Calibri" w:eastAsia="Calibri" w:hAnsi="Calibri"/>
                <w:b w:val="false"/>
                <w:bCs w:val="false"/>
                <w:color w:val="0B1A12"/>
                <w:sz w:val="16"/>
                <w:szCs w:val="16"/>
              </w:rPr>
              <w:t xml:space="preserve">Sender, recipients and link base. Not secret.</w:t>
            </w:r>
          </w:p>
        </w:tc>
      </w:tr>
    </w:tbl>
    <w:p>
      <w:pPr>
        <w:spacing w:after="120" w:line="245"/>
      </w:pPr>
      <w:r>
        <w:rPr>
          <w:rFonts w:ascii="Calibri" w:cs="Calibri" w:eastAsia="Calibri" w:hAnsi="Calibri"/>
          <w:color w:val="0B1A12"/>
          <w:sz w:val="17"/>
          <w:szCs w:val="17"/>
        </w:rPr>
        <w:t xml:space="preserve">Next.js 16.3.1 · React 19.2 · TypeScript 5 · Tailwind CSS 4 · @supabase/ssr · @aws-sdk/client-s3 · JSZip · ESLint 9. </w:t>
      </w:r>
      <w:r>
        <w:rPr>
          <w:rFonts w:ascii="Calibri" w:cs="Calibri" w:eastAsia="Calibri" w:hAnsi="Calibri"/>
          <w:b/>
          <w:bCs/>
          <w:color w:val="0B1A12"/>
          <w:sz w:val="17"/>
          <w:szCs w:val="17"/>
        </w:rPr>
        <w:t xml:space="preserve">Nine production dependencies</w:t>
      </w:r>
      <w:r>
        <w:rPr>
          <w:rFonts w:ascii="Calibri" w:cs="Calibri" w:eastAsia="Calibri" w:hAnsi="Calibri"/>
          <w:color w:val="0B1A12"/>
          <w:sz w:val="17"/>
          <w:szCs w:val="17"/>
        </w:rPr>
        <w:t xml:space="preserve"> — Cloudinary and Resend are called directly over HTTP rather than pulling in an SDK for a few JSON fields.</w:t>
      </w:r>
    </w:p>
    <w:p>
      <w:pPr>
        <w:pBdr>
          <w:bottom w:val="single" w:color="15803D" w:sz="6" w:space="3"/>
        </w:pBdr>
        <w:spacing w:after="60" w:before="170"/>
      </w:pPr>
      <w:r>
        <w:rPr>
          <w:rFonts w:ascii="Calibri" w:cs="Calibri" w:eastAsia="Calibri" w:hAnsi="Calibri"/>
          <w:b/>
          <w:bCs/>
          <w:color w:val="15803D"/>
          <w:spacing w:val="20"/>
          <w:sz w:val="17"/>
          <w:szCs w:val="17"/>
        </w:rPr>
        <w:t xml:space="preserve">STATUS AND WHAT REMAINS</w:t>
      </w:r>
    </w:p>
    <w:p>
      <w:pPr>
        <w:spacing w:after="100" w:line="245"/>
      </w:pPr>
      <w:r>
        <w:rPr>
          <w:rFonts w:ascii="Calibri" w:cs="Calibri" w:eastAsia="Calibri" w:hAnsi="Calibri"/>
          <w:b/>
          <w:bCs/>
          <w:color w:val="0B1A12"/>
          <w:sz w:val="18"/>
          <w:szCs w:val="18"/>
        </w:rPr>
        <w:t xml:space="preserve">Deployed and in use for registration. </w:t>
      </w:r>
      <w:r>
        <w:rPr>
          <w:rFonts w:ascii="Calibri" w:cs="Calibri" w:eastAsia="Calibri" w:hAnsi="Calibri"/>
          <w:color w:val="0B1A12"/>
          <w:sz w:val="18"/>
          <w:szCs w:val="18"/>
        </w:rPr>
        <w:t xml:space="preserve">Members register, complete onboarding, upload their documents, and appear on the administrative rosters. Continuous integration is green.</w:t>
      </w:r>
    </w:p>
    <w:p>
      <w:pPr>
        <w:pStyle w:val="ListParagraph"/>
        <w:numPr>
          <w:ilvl w:val="0"/>
          <w:numId w:val="2"/>
        </w:numPr>
        <w:spacing w:after="50" w:line="245"/>
      </w:pPr>
      <w:r>
        <w:rPr>
          <w:rFonts w:ascii="Calibri" w:cs="Calibri" w:eastAsia="Calibri" w:hAnsi="Calibri"/>
          <w:b/>
          <w:bCs/>
          <w:color w:val="0B1A12"/>
          <w:sz w:val="18"/>
          <w:szCs w:val="18"/>
        </w:rPr>
        <w:t xml:space="preserve">Before launch: </w:t>
      </w:r>
      <w:r>
        <w:rPr>
          <w:rFonts w:ascii="Calibri" w:cs="Calibri" w:eastAsia="Calibri" w:hAnsi="Calibri"/>
          <w:color w:val="0B1A12"/>
          <w:sz w:val="18"/>
          <w:szCs w:val="18"/>
        </w:rPr>
        <w:t xml:space="preserve">re-enable e-mail confirmation — blocked on registering a domain, without which no provider delivers to arbitrary recipients — and rate-limit the authentication endpoints.</w:t>
      </w:r>
    </w:p>
    <w:p>
      <w:pPr>
        <w:pStyle w:val="ListParagraph"/>
        <w:numPr>
          <w:ilvl w:val="0"/>
          <w:numId w:val="2"/>
        </w:numPr>
        <w:spacing w:after="50" w:line="245"/>
      </w:pPr>
      <w:r>
        <w:rPr>
          <w:rFonts w:ascii="Calibri" w:cs="Calibri" w:eastAsia="Calibri" w:hAnsi="Calibri"/>
          <w:b/>
          <w:bCs/>
          <w:color w:val="0B1A12"/>
          <w:sz w:val="18"/>
          <w:szCs w:val="18"/>
        </w:rPr>
        <w:t xml:space="preserve">Next: </w:t>
      </w:r>
      <w:r>
        <w:rPr>
          <w:rFonts w:ascii="Calibri" w:cs="Calibri" w:eastAsia="Calibri" w:hAnsi="Calibri"/>
          <w:color w:val="0B1A12"/>
          <w:sz w:val="18"/>
          <w:szCs w:val="18"/>
        </w:rPr>
        <w:t xml:space="preserve">end-to-end tests from registration through to the roster; season planning and attendance; pagination once the rosters outgrow one page.</w:t>
      </w:r>
    </w:p>
    <w:p>
      <w:pPr>
        <w:pStyle w:val="ListParagraph"/>
        <w:numPr>
          <w:ilvl w:val="0"/>
          <w:numId w:val="2"/>
        </w:numPr>
        <w:spacing w:after="50" w:line="245"/>
      </w:pPr>
      <w:r>
        <w:rPr>
          <w:rFonts w:ascii="Calibri" w:cs="Calibri" w:eastAsia="Calibri" w:hAnsi="Calibri"/>
          <w:b/>
          <w:bCs/>
          <w:color w:val="0B1A12"/>
          <w:sz w:val="18"/>
          <w:szCs w:val="18"/>
        </w:rPr>
        <w:t xml:space="preserve">Known trade-off: </w:t>
      </w:r>
      <w:r>
        <w:rPr>
          <w:rFonts w:ascii="Calibri" w:cs="Calibri" w:eastAsia="Calibri" w:hAnsi="Calibri"/>
          <w:color w:val="0B1A12"/>
          <w:sz w:val="18"/>
          <w:szCs w:val="18"/>
        </w:rPr>
        <w:t xml:space="preserve">third-party document storage moved access control out of the database into three server functions. Recorded in the repository with its reasoning, so it is reviewed rather than discovered.</w:t>
      </w:r>
    </w:p>
    <w:p>
      <w:pPr>
        <w:pBdr>
          <w:top w:val="single" w:color="DFEAE3" w:sz="4" w:space="6"/>
        </w:pBdr>
        <w:spacing w:before="110"/>
      </w:pPr>
      <w:r>
        <w:rPr>
          <w:rFonts w:ascii="Calibri" w:cs="Calibri" w:eastAsia="Calibri" w:hAnsi="Calibri"/>
          <w:i/>
          <w:iCs/>
          <w:color w:val="40564A"/>
          <w:sz w:val="15"/>
          <w:szCs w:val="15"/>
        </w:rPr>
        <w:t xml:space="preserve">7 September 2026 · Architecture decisions, migration history and setup procedures are documented in the repository.</w:t>
      </w:r>
    </w:p>
    <w:sectPr>
      <w:pgSz w:w="12240" w:h="15840" w:orient="portrait"/>
      <w:pgMar w:top="900" w:right="1000" w:bottom="8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El-Salam Scouting Group — Association Management System</dc:title>
  <dc:creator>Youssef Elbasiouny</dc:creator>
  <dc:description>Project report: vision, mission, architecture and technology stack.</dc:description>
  <cp:lastModifiedBy>Un-named</cp:lastModifiedBy>
  <cp:revision>1</cp:revision>
  <dcterms:created xsi:type="dcterms:W3CDTF">2026-09-07T10:04:30.127Z</dcterms:created>
  <dcterms:modified xsi:type="dcterms:W3CDTF">2026-09-07T10:04:30.128Z</dcterms:modified>
</cp:coreProperties>
</file>

<file path=docProps/custom.xml><?xml version="1.0" encoding="utf-8"?>
<Properties xmlns="http://schemas.openxmlformats.org/officeDocument/2006/custom-properties" xmlns:vt="http://schemas.openxmlformats.org/officeDocument/2006/docPropsVTypes"/>
</file>