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cs="Arial"/>
          <w:kern w:val="0"/>
          <w:sz w:val="40"/>
          <w:szCs w:val="40"/>
        </w:rPr>
      </w:pPr>
      <w:r>
        <w:rPr>
          <w:rFonts w:hint="eastAsia" w:ascii="宋体" w:hAnsi="宋体" w:cs="Arial"/>
          <w:kern w:val="0"/>
          <w:sz w:val="40"/>
          <w:szCs w:val="40"/>
          <w:lang w:val="en-US" w:eastAsia="zh-CN"/>
        </w:rPr>
        <w:t>质量</w:t>
      </w:r>
      <w:r>
        <w:rPr>
          <w:rFonts w:hint="eastAsia" w:ascii="宋体" w:hAnsi="宋体" w:cs="Arial"/>
          <w:kern w:val="0"/>
          <w:sz w:val="40"/>
          <w:szCs w:val="40"/>
        </w:rPr>
        <w:t>风险</w:t>
      </w:r>
      <w:r>
        <w:rPr>
          <w:rFonts w:hint="eastAsia" w:ascii="宋体" w:hAnsi="宋体" w:cs="Arial"/>
          <w:kern w:val="0"/>
          <w:sz w:val="40"/>
          <w:szCs w:val="40"/>
          <w:lang w:val="en-US" w:eastAsia="zh-CN"/>
        </w:rPr>
        <w:t>与</w:t>
      </w:r>
      <w:r>
        <w:rPr>
          <w:rFonts w:hint="eastAsia" w:ascii="宋体" w:hAnsi="宋体" w:cs="Arial"/>
          <w:kern w:val="0"/>
          <w:sz w:val="40"/>
          <w:szCs w:val="40"/>
        </w:rPr>
        <w:t>机遇分析评价表</w:t>
      </w:r>
    </w:p>
    <w:p>
      <w:pPr>
        <w:ind w:firstLine="42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1"/>
          <w:szCs w:val="21"/>
        </w:rPr>
        <w:t>时间：2</w:t>
      </w:r>
      <w:r>
        <w:rPr>
          <w:rFonts w:hint="eastAsia" w:ascii="宋体" w:hAnsi="宋体"/>
          <w:sz w:val="21"/>
          <w:szCs w:val="21"/>
          <w:lang w:val="en-US" w:eastAsia="zh-CN"/>
        </w:rPr>
        <w:t>020</w:t>
      </w:r>
      <w:r>
        <w:rPr>
          <w:rFonts w:hint="eastAsia" w:ascii="宋体" w:hAnsi="宋体"/>
          <w:sz w:val="21"/>
          <w:szCs w:val="21"/>
        </w:rPr>
        <w:t xml:space="preserve">年 </w:t>
      </w:r>
      <w:r>
        <w:rPr>
          <w:rFonts w:hint="eastAsia" w:ascii="宋体" w:hAnsi="宋体"/>
          <w:sz w:val="24"/>
        </w:rPr>
        <w:t xml:space="preserve">                                                                                 </w:t>
      </w:r>
    </w:p>
    <w:tbl>
      <w:tblPr>
        <w:tblStyle w:val="4"/>
        <w:tblW w:w="1595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"/>
        <w:gridCol w:w="848"/>
        <w:gridCol w:w="1637"/>
        <w:gridCol w:w="4318"/>
        <w:gridCol w:w="1339"/>
        <w:gridCol w:w="7"/>
        <w:gridCol w:w="739"/>
        <w:gridCol w:w="2964"/>
        <w:gridCol w:w="1215"/>
        <w:gridCol w:w="1387"/>
        <w:gridCol w:w="1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498" w:type="dxa"/>
            <w:vMerge w:val="restart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类型</w:t>
            </w:r>
          </w:p>
        </w:tc>
        <w:tc>
          <w:tcPr>
            <w:tcW w:w="848" w:type="dxa"/>
            <w:vMerge w:val="restart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类别</w:t>
            </w:r>
          </w:p>
        </w:tc>
        <w:tc>
          <w:tcPr>
            <w:tcW w:w="5955" w:type="dxa"/>
            <w:gridSpan w:val="2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风险及机遇的识别</w:t>
            </w:r>
          </w:p>
        </w:tc>
        <w:tc>
          <w:tcPr>
            <w:tcW w:w="2085" w:type="dxa"/>
            <w:gridSpan w:val="3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风险及机遇的评估</w:t>
            </w:r>
          </w:p>
        </w:tc>
        <w:tc>
          <w:tcPr>
            <w:tcW w:w="2964" w:type="dxa"/>
            <w:vMerge w:val="restart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风险及机遇应对措施</w:t>
            </w:r>
          </w:p>
        </w:tc>
        <w:tc>
          <w:tcPr>
            <w:tcW w:w="1215" w:type="dxa"/>
            <w:vMerge w:val="restart"/>
            <w:vAlign w:val="center"/>
          </w:tcPr>
          <w:p>
            <w:pPr>
              <w:jc w:val="center"/>
              <w:rPr>
                <w:rFonts w:eastAsia="宋体"/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执行部门</w:t>
            </w:r>
          </w:p>
        </w:tc>
        <w:tc>
          <w:tcPr>
            <w:tcW w:w="1387" w:type="dxa"/>
            <w:vMerge w:val="restart"/>
            <w:vAlign w:val="center"/>
          </w:tcPr>
          <w:p>
            <w:pPr>
              <w:jc w:val="center"/>
              <w:rPr>
                <w:rFonts w:eastAsia="宋体"/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风险及机遇应对措施结果评价</w:t>
            </w:r>
          </w:p>
        </w:tc>
        <w:tc>
          <w:tcPr>
            <w:tcW w:w="1000" w:type="dxa"/>
            <w:vMerge w:val="restart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评价日期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98" w:type="dxa"/>
            <w:vMerge w:val="continue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848" w:type="dxa"/>
            <w:vMerge w:val="continue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637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外部因素及相关方描述</w:t>
            </w:r>
          </w:p>
        </w:tc>
        <w:tc>
          <w:tcPr>
            <w:tcW w:w="4318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风险和机遇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cs="Arial"/>
                <w:b w:val="0"/>
                <w:bCs w:val="0"/>
                <w:kern w:val="0"/>
                <w:sz w:val="18"/>
                <w:szCs w:val="18"/>
              </w:rPr>
              <w:t>发生可能性×严重性</w:t>
            </w:r>
          </w:p>
        </w:tc>
        <w:tc>
          <w:tcPr>
            <w:tcW w:w="746" w:type="dxa"/>
            <w:gridSpan w:val="2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cs="Arial"/>
                <w:b w:val="0"/>
                <w:bCs w:val="0"/>
                <w:kern w:val="0"/>
                <w:sz w:val="18"/>
                <w:szCs w:val="18"/>
              </w:rPr>
              <w:t>等级</w:t>
            </w:r>
          </w:p>
        </w:tc>
        <w:tc>
          <w:tcPr>
            <w:tcW w:w="2964" w:type="dxa"/>
            <w:vMerge w:val="continue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215" w:type="dxa"/>
            <w:vMerge w:val="continue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387" w:type="dxa"/>
            <w:vMerge w:val="continue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000" w:type="dxa"/>
            <w:vMerge w:val="continue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atLeast"/>
          <w:jc w:val="center"/>
        </w:trPr>
        <w:tc>
          <w:tcPr>
            <w:tcW w:w="498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</w:rPr>
              <w:t>外部因素</w:t>
            </w:r>
          </w:p>
        </w:tc>
        <w:tc>
          <w:tcPr>
            <w:tcW w:w="848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</w:rPr>
              <w:t>法规要求</w:t>
            </w:r>
          </w:p>
        </w:tc>
        <w:tc>
          <w:tcPr>
            <w:tcW w:w="1637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</w:rPr>
              <w:t>法律、法规内容的变化</w:t>
            </w:r>
          </w:p>
        </w:tc>
        <w:tc>
          <w:tcPr>
            <w:tcW w:w="4318" w:type="dxa"/>
            <w:vMerge w:val="restart"/>
            <w:vAlign w:val="center"/>
          </w:tcPr>
          <w:p>
            <w:pPr>
              <w:rPr>
                <w:rFonts w:ascii="宋体" w:hAnsi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</w:rPr>
              <w:t>质量风险：公司</w:t>
            </w: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  <w:lang w:eastAsia="zh-CN"/>
              </w:rPr>
              <w:t>服务</w:t>
            </w: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</w:rPr>
              <w:t>在</w:t>
            </w: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  <w:lang w:val="en-US" w:eastAsia="zh-CN"/>
              </w:rPr>
              <w:t>当地</w:t>
            </w: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</w:rPr>
              <w:t>，对当地的法律法规是否充分收集评估，并转化为公司制度执行，符合新法规要求</w:t>
            </w:r>
          </w:p>
          <w:p>
            <w:pPr>
              <w:rPr>
                <w:rFonts w:ascii="宋体" w:hAnsi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</w:rPr>
              <w:t>质量机遇：公司</w:t>
            </w: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  <w:lang w:eastAsia="zh-CN"/>
              </w:rPr>
              <w:t>服务</w:t>
            </w: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</w:rPr>
              <w:t>机构调整，给公司带来潜在的客户</w:t>
            </w:r>
          </w:p>
        </w:tc>
        <w:tc>
          <w:tcPr>
            <w:tcW w:w="1339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</w:rPr>
              <w:t>4</w:t>
            </w:r>
            <w:r>
              <w:rPr>
                <w:rFonts w:hint="eastAsia" w:ascii="宋体" w:hAnsi="宋体" w:cs="宋体"/>
                <w:b w:val="0"/>
                <w:bCs w:val="0"/>
                <w:kern w:val="0"/>
                <w:sz w:val="18"/>
                <w:szCs w:val="18"/>
              </w:rPr>
              <w:t>×4=16</w:t>
            </w:r>
          </w:p>
        </w:tc>
        <w:tc>
          <w:tcPr>
            <w:tcW w:w="746" w:type="dxa"/>
            <w:gridSpan w:val="2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</w:rPr>
              <w:t>高</w:t>
            </w:r>
          </w:p>
        </w:tc>
        <w:tc>
          <w:tcPr>
            <w:tcW w:w="2964" w:type="dxa"/>
            <w:vAlign w:val="center"/>
          </w:tcPr>
          <w:p>
            <w:pPr>
              <w:rPr>
                <w:rFonts w:ascii="宋体" w:hAnsi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</w:rPr>
              <w:t>1.主要职能部门按照要求加强相关</w:t>
            </w: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  <w:lang w:eastAsia="zh-CN"/>
              </w:rPr>
              <w:t>服务</w:t>
            </w: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</w:rPr>
              <w:t>销售区域所在地法律法规的收集评价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行政人事部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有效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  <w:t>2020-03-09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  <w:jc w:val="center"/>
        </w:trPr>
        <w:tc>
          <w:tcPr>
            <w:tcW w:w="49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84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3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4318" w:type="dxa"/>
            <w:vMerge w:val="continue"/>
            <w:vAlign w:val="center"/>
          </w:tcPr>
          <w:p>
            <w:pPr>
              <w:rPr>
                <w:rFonts w:ascii="宋体" w:hAnsi="宋体" w:eastAsia="宋体" w:cs="宋体"/>
                <w:b/>
                <w:sz w:val="18"/>
                <w:szCs w:val="18"/>
              </w:rPr>
            </w:pPr>
          </w:p>
        </w:tc>
        <w:tc>
          <w:tcPr>
            <w:tcW w:w="1339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746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96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2.加大市场开拓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市场运营部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有效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2020-03-09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  <w:jc w:val="center"/>
        </w:trPr>
        <w:tc>
          <w:tcPr>
            <w:tcW w:w="49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84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37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行业标准的变化</w:t>
            </w:r>
          </w:p>
        </w:tc>
        <w:tc>
          <w:tcPr>
            <w:tcW w:w="4318" w:type="dxa"/>
            <w:vMerge w:val="restart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</w:rPr>
              <w:t>质量风险：</w:t>
            </w:r>
            <w:r>
              <w:rPr>
                <w:rFonts w:hint="eastAsia" w:ascii="宋体" w:hAnsi="宋体" w:cs="宋体"/>
                <w:sz w:val="18"/>
                <w:szCs w:val="18"/>
              </w:rPr>
              <w:t>公司现有的制度，是否符合新行业标准的要求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</w:rPr>
              <w:t>质量机遇：</w:t>
            </w:r>
            <w:r>
              <w:rPr>
                <w:rFonts w:hint="eastAsia" w:ascii="宋体" w:hAnsi="宋体" w:cs="宋体"/>
                <w:sz w:val="18"/>
                <w:szCs w:val="18"/>
              </w:rPr>
              <w:t>行业</w:t>
            </w: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服务</w:t>
            </w:r>
            <w:r>
              <w:rPr>
                <w:rFonts w:hint="eastAsia" w:ascii="宋体" w:hAnsi="宋体" w:cs="宋体"/>
                <w:sz w:val="18"/>
                <w:szCs w:val="18"/>
              </w:rPr>
              <w:t>环境变化，给公司带来潜在的客户</w:t>
            </w:r>
          </w:p>
        </w:tc>
        <w:tc>
          <w:tcPr>
            <w:tcW w:w="1339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×3=12</w:t>
            </w:r>
          </w:p>
        </w:tc>
        <w:tc>
          <w:tcPr>
            <w:tcW w:w="746" w:type="dxa"/>
            <w:gridSpan w:val="2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一般</w:t>
            </w:r>
          </w:p>
        </w:tc>
        <w:tc>
          <w:tcPr>
            <w:tcW w:w="2964" w:type="dxa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1.主要职能部门按照要求加强法律法规的收集评价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行政人事部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有效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2020-03-09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49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84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3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4318" w:type="dxa"/>
            <w:vMerge w:val="continue"/>
            <w:vAlign w:val="center"/>
          </w:tcPr>
          <w:p>
            <w:pPr>
              <w:rPr>
                <w:rFonts w:ascii="宋体" w:hAnsi="宋体" w:eastAsia="宋体" w:cs="宋体"/>
                <w:b/>
                <w:sz w:val="18"/>
                <w:szCs w:val="18"/>
              </w:rPr>
            </w:pPr>
          </w:p>
        </w:tc>
        <w:tc>
          <w:tcPr>
            <w:tcW w:w="1339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746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964" w:type="dxa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2.加大市场开拓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行政人事部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有效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2020-03-09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  <w:jc w:val="center"/>
        </w:trPr>
        <w:tc>
          <w:tcPr>
            <w:tcW w:w="49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848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相关方要求</w:t>
            </w:r>
          </w:p>
        </w:tc>
        <w:tc>
          <w:tcPr>
            <w:tcW w:w="1637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监管部门的监管力度</w:t>
            </w:r>
          </w:p>
        </w:tc>
        <w:tc>
          <w:tcPr>
            <w:tcW w:w="4318" w:type="dxa"/>
            <w:vMerge w:val="restart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</w:rPr>
              <w:t>质量风险：</w:t>
            </w:r>
            <w:r>
              <w:rPr>
                <w:rFonts w:hint="eastAsia" w:ascii="宋体" w:hAnsi="宋体" w:cs="宋体"/>
                <w:sz w:val="18"/>
                <w:szCs w:val="18"/>
              </w:rPr>
              <w:t>监管部门监管力度的加大，如公司执行不规范，可能存在被查处的风险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</w:rPr>
              <w:t>质量机遇：</w:t>
            </w:r>
            <w:r>
              <w:rPr>
                <w:rFonts w:hint="eastAsia" w:ascii="宋体" w:hAnsi="宋体" w:cs="宋体"/>
                <w:sz w:val="18"/>
                <w:szCs w:val="18"/>
              </w:rPr>
              <w:t>行业</w:t>
            </w: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服务</w:t>
            </w:r>
            <w:r>
              <w:rPr>
                <w:rFonts w:hint="eastAsia" w:ascii="宋体" w:hAnsi="宋体" w:cs="宋体"/>
                <w:sz w:val="18"/>
                <w:szCs w:val="18"/>
              </w:rPr>
              <w:t>环境的变化，给公司带来新的发展机遇</w:t>
            </w:r>
          </w:p>
        </w:tc>
        <w:tc>
          <w:tcPr>
            <w:tcW w:w="1339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×3=12</w:t>
            </w:r>
          </w:p>
        </w:tc>
        <w:tc>
          <w:tcPr>
            <w:tcW w:w="746" w:type="dxa"/>
            <w:gridSpan w:val="2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一般</w:t>
            </w:r>
          </w:p>
        </w:tc>
        <w:tc>
          <w:tcPr>
            <w:tcW w:w="2964" w:type="dxa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1.各级部门严格按照公司的规章制度开展相关工作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行政人事部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有效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2020-03-09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6" w:hRule="atLeast"/>
          <w:jc w:val="center"/>
        </w:trPr>
        <w:tc>
          <w:tcPr>
            <w:tcW w:w="49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84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3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4318" w:type="dxa"/>
            <w:vMerge w:val="continue"/>
            <w:vAlign w:val="center"/>
          </w:tcPr>
          <w:p>
            <w:pPr>
              <w:jc w:val="left"/>
              <w:rPr>
                <w:rFonts w:ascii="宋体" w:hAnsi="宋体" w:eastAsia="宋体" w:cs="宋体"/>
                <w:b/>
                <w:sz w:val="18"/>
                <w:szCs w:val="18"/>
              </w:rPr>
            </w:pPr>
          </w:p>
        </w:tc>
        <w:tc>
          <w:tcPr>
            <w:tcW w:w="1339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746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964" w:type="dxa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2.职能部门加大公司内部制度执行情况的检查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行政人事部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有效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2020-03-09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  <w:jc w:val="center"/>
        </w:trPr>
        <w:tc>
          <w:tcPr>
            <w:tcW w:w="49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84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3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供应商的要求</w:t>
            </w:r>
          </w:p>
        </w:tc>
        <w:tc>
          <w:tcPr>
            <w:tcW w:w="4318" w:type="dxa"/>
            <w:vAlign w:val="center"/>
          </w:tcPr>
          <w:p>
            <w:pPr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</w:rPr>
              <w:t>质量风险：</w:t>
            </w: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产品</w:t>
            </w:r>
            <w:r>
              <w:rPr>
                <w:rFonts w:hint="eastAsia" w:ascii="宋体" w:hAnsi="宋体" w:cs="宋体"/>
                <w:sz w:val="18"/>
                <w:szCs w:val="18"/>
              </w:rPr>
              <w:t>市场不稳定，希望签订的年度合同和保底价格，带来的采购和资金风险</w:t>
            </w:r>
          </w:p>
          <w:p>
            <w:pPr>
              <w:rPr>
                <w:rFonts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</w:rPr>
              <w:t>质量机遇：</w:t>
            </w: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产品</w:t>
            </w:r>
            <w:r>
              <w:rPr>
                <w:rFonts w:hint="eastAsia" w:ascii="宋体" w:hAnsi="宋体" w:cs="宋体"/>
                <w:sz w:val="18"/>
                <w:szCs w:val="18"/>
              </w:rPr>
              <w:t>可能会降低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×3=6</w:t>
            </w:r>
          </w:p>
        </w:tc>
        <w:tc>
          <w:tcPr>
            <w:tcW w:w="746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一般</w:t>
            </w:r>
          </w:p>
        </w:tc>
        <w:tc>
          <w:tcPr>
            <w:tcW w:w="296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对公司影响较大的大宗</w:t>
            </w: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产品</w:t>
            </w:r>
            <w:r>
              <w:rPr>
                <w:rFonts w:hint="eastAsia" w:ascii="宋体" w:hAnsi="宋体" w:cs="宋体"/>
                <w:sz w:val="18"/>
                <w:szCs w:val="18"/>
              </w:rPr>
              <w:t>做好年度采购计划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行政人事部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有效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2020-03-09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6" w:hRule="atLeast"/>
          <w:jc w:val="center"/>
        </w:trPr>
        <w:tc>
          <w:tcPr>
            <w:tcW w:w="498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外部因素</w:t>
            </w:r>
          </w:p>
        </w:tc>
        <w:tc>
          <w:tcPr>
            <w:tcW w:w="848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相关方要求</w:t>
            </w:r>
          </w:p>
        </w:tc>
        <w:tc>
          <w:tcPr>
            <w:tcW w:w="1637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客户的需求</w:t>
            </w:r>
          </w:p>
        </w:tc>
        <w:tc>
          <w:tcPr>
            <w:tcW w:w="4318" w:type="dxa"/>
            <w:vMerge w:val="restart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</w:rPr>
              <w:t>质量风险：</w:t>
            </w:r>
            <w:r>
              <w:rPr>
                <w:rFonts w:hint="eastAsia" w:ascii="宋体" w:hAnsi="宋体" w:cs="宋体"/>
                <w:sz w:val="18"/>
                <w:szCs w:val="18"/>
              </w:rPr>
              <w:t>客户对</w:t>
            </w: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服务</w:t>
            </w:r>
            <w:r>
              <w:rPr>
                <w:rFonts w:hint="eastAsia" w:ascii="宋体" w:hAnsi="宋体" w:cs="宋体"/>
                <w:sz w:val="18"/>
                <w:szCs w:val="18"/>
              </w:rPr>
              <w:t>质量标准提高，以及对供应周期和售后服务的期望值提升，给公司</w:t>
            </w: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服务</w:t>
            </w:r>
            <w:r>
              <w:rPr>
                <w:rFonts w:hint="eastAsia" w:ascii="宋体" w:hAnsi="宋体" w:cs="宋体"/>
                <w:sz w:val="18"/>
                <w:szCs w:val="18"/>
              </w:rPr>
              <w:t>、质量和售后管理提出新的要求</w:t>
            </w:r>
          </w:p>
          <w:p>
            <w:pPr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</w:rPr>
              <w:t>质量机遇：</w:t>
            </w:r>
            <w:r>
              <w:rPr>
                <w:rFonts w:hint="eastAsia" w:ascii="宋体" w:hAnsi="宋体" w:cs="宋体"/>
                <w:sz w:val="18"/>
                <w:szCs w:val="18"/>
              </w:rPr>
              <w:t>市场竞争的加剧，公司管理水平的提升，会给公司带来潜在的发展机遇</w:t>
            </w:r>
          </w:p>
        </w:tc>
        <w:tc>
          <w:tcPr>
            <w:tcW w:w="1346" w:type="dxa"/>
            <w:gridSpan w:val="2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×4=16</w:t>
            </w:r>
          </w:p>
        </w:tc>
        <w:tc>
          <w:tcPr>
            <w:tcW w:w="739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高</w:t>
            </w:r>
          </w:p>
        </w:tc>
        <w:tc>
          <w:tcPr>
            <w:tcW w:w="2964" w:type="dxa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1.加强与客户进行质量标准制定的沟通，统一双方的标准和检测方法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技术部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有效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2020-03-09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  <w:jc w:val="center"/>
        </w:trPr>
        <w:tc>
          <w:tcPr>
            <w:tcW w:w="49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84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3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4318" w:type="dxa"/>
            <w:vMerge w:val="continue"/>
            <w:vAlign w:val="center"/>
          </w:tcPr>
          <w:p>
            <w:pPr>
              <w:rPr>
                <w:rFonts w:ascii="宋体" w:hAnsi="宋体" w:eastAsia="宋体" w:cs="宋体"/>
                <w:b/>
                <w:sz w:val="18"/>
                <w:szCs w:val="18"/>
              </w:rPr>
            </w:pPr>
          </w:p>
        </w:tc>
        <w:tc>
          <w:tcPr>
            <w:tcW w:w="1346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739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964" w:type="dxa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2.做好</w:t>
            </w: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服务</w:t>
            </w:r>
            <w:r>
              <w:rPr>
                <w:rFonts w:hint="eastAsia" w:ascii="宋体" w:hAnsi="宋体" w:cs="宋体"/>
                <w:sz w:val="18"/>
                <w:szCs w:val="18"/>
              </w:rPr>
              <w:t>计划的安排，保证</w:t>
            </w: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服务</w:t>
            </w:r>
            <w:r>
              <w:rPr>
                <w:rFonts w:hint="eastAsia" w:ascii="宋体" w:hAnsi="宋体" w:cs="宋体"/>
                <w:sz w:val="18"/>
                <w:szCs w:val="18"/>
              </w:rPr>
              <w:t>计划的执行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技术部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有效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2020-03-09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6" w:hRule="atLeast"/>
          <w:jc w:val="center"/>
        </w:trPr>
        <w:tc>
          <w:tcPr>
            <w:tcW w:w="49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84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3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4318" w:type="dxa"/>
            <w:vMerge w:val="continue"/>
            <w:vAlign w:val="center"/>
          </w:tcPr>
          <w:p>
            <w:pPr>
              <w:rPr>
                <w:rFonts w:ascii="宋体" w:hAnsi="宋体" w:eastAsia="宋体" w:cs="宋体"/>
                <w:b/>
                <w:sz w:val="18"/>
                <w:szCs w:val="18"/>
              </w:rPr>
            </w:pPr>
          </w:p>
        </w:tc>
        <w:tc>
          <w:tcPr>
            <w:tcW w:w="1346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739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964" w:type="dxa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3.加大客户交流沟通，及时处理客户的需求和意见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技术部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有效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2020-03-09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  <w:jc w:val="center"/>
        </w:trPr>
        <w:tc>
          <w:tcPr>
            <w:tcW w:w="49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84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3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第三方的要求</w:t>
            </w:r>
          </w:p>
        </w:tc>
        <w:tc>
          <w:tcPr>
            <w:tcW w:w="4318" w:type="dxa"/>
            <w:vAlign w:val="center"/>
          </w:tcPr>
          <w:p>
            <w:pPr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</w:rPr>
              <w:t>质量风险：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服务</w:t>
            </w:r>
            <w:r>
              <w:rPr>
                <w:rFonts w:hint="eastAsia" w:ascii="宋体" w:hAnsi="宋体" w:cs="宋体"/>
                <w:sz w:val="18"/>
                <w:szCs w:val="18"/>
              </w:rPr>
              <w:t>中可能会对第三方产生不利的影响，或是第三方的要求公司目前无法满足，由此造成的冲突</w:t>
            </w:r>
          </w:p>
          <w:p>
            <w:pPr>
              <w:rPr>
                <w:rFonts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</w:rPr>
              <w:t>质量机遇：</w:t>
            </w:r>
            <w:r>
              <w:rPr>
                <w:rFonts w:hint="eastAsia" w:ascii="宋体" w:hAnsi="宋体" w:cs="宋体"/>
                <w:sz w:val="18"/>
                <w:szCs w:val="18"/>
              </w:rPr>
              <w:t>第三方要求会完善公司的管理水平</w:t>
            </w:r>
          </w:p>
        </w:tc>
        <w:tc>
          <w:tcPr>
            <w:tcW w:w="1346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×3=6</w:t>
            </w:r>
          </w:p>
        </w:tc>
        <w:tc>
          <w:tcPr>
            <w:tcW w:w="73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一般</w:t>
            </w:r>
          </w:p>
        </w:tc>
        <w:tc>
          <w:tcPr>
            <w:tcW w:w="2964" w:type="dxa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各职能部门加强与第三方的沟通，对第三方的要求及时进行处理，必要时及时提交公司高层进行资源配置，降低第三方的抱怨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市场运营部</w:t>
            </w:r>
            <w:r>
              <w:rPr>
                <w:rFonts w:hint="eastAsia" w:ascii="宋体" w:hAnsi="宋体" w:cs="宋体"/>
                <w:sz w:val="18"/>
                <w:szCs w:val="18"/>
              </w:rPr>
              <w:t>、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财务</w:t>
            </w: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部</w:t>
            </w:r>
            <w:r>
              <w:rPr>
                <w:rFonts w:hint="eastAsia" w:ascii="宋体" w:hAnsi="宋体" w:cs="宋体"/>
                <w:sz w:val="18"/>
                <w:szCs w:val="18"/>
              </w:rPr>
              <w:t>、各部门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有效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2020-03-09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7" w:hRule="atLeast"/>
          <w:jc w:val="center"/>
        </w:trPr>
        <w:tc>
          <w:tcPr>
            <w:tcW w:w="498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外部因素</w:t>
            </w:r>
          </w:p>
        </w:tc>
        <w:tc>
          <w:tcPr>
            <w:tcW w:w="848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竞争</w:t>
            </w:r>
          </w:p>
        </w:tc>
        <w:tc>
          <w:tcPr>
            <w:tcW w:w="163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公司市场占有率、市场领先趋势、顾客增长趋势</w:t>
            </w:r>
          </w:p>
        </w:tc>
        <w:tc>
          <w:tcPr>
            <w:tcW w:w="4318" w:type="dxa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</w:rPr>
              <w:t>质量风险：</w:t>
            </w:r>
            <w:r>
              <w:rPr>
                <w:rFonts w:hint="eastAsia" w:ascii="宋体" w:hAnsi="宋体" w:cs="宋体"/>
                <w:sz w:val="18"/>
                <w:szCs w:val="18"/>
              </w:rPr>
              <w:t>公司目前主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市场</w:t>
            </w:r>
            <w:r>
              <w:rPr>
                <w:rFonts w:hint="eastAsia" w:ascii="宋体" w:hAnsi="宋体" w:cs="宋体"/>
                <w:sz w:val="18"/>
                <w:szCs w:val="18"/>
              </w:rPr>
              <w:t>占有率和领先趋势比较明显，但是竞争对手正在模仿公司的发展方式，影响公司的领先优势。</w:t>
            </w:r>
          </w:p>
          <w:p>
            <w:pPr>
              <w:rPr>
                <w:rFonts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color w:val="000000"/>
                <w:sz w:val="18"/>
                <w:szCs w:val="18"/>
              </w:rPr>
              <w:t>质量机遇：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市场竞争加剧，发展压力加大。</w:t>
            </w:r>
          </w:p>
        </w:tc>
        <w:tc>
          <w:tcPr>
            <w:tcW w:w="1346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×2=6</w:t>
            </w:r>
          </w:p>
        </w:tc>
        <w:tc>
          <w:tcPr>
            <w:tcW w:w="73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一般</w:t>
            </w:r>
          </w:p>
        </w:tc>
        <w:tc>
          <w:tcPr>
            <w:tcW w:w="2964" w:type="dxa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及时关注公司</w:t>
            </w: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服务</w:t>
            </w:r>
            <w:r>
              <w:rPr>
                <w:rFonts w:hint="eastAsia" w:ascii="宋体" w:hAnsi="宋体" w:cs="宋体"/>
                <w:sz w:val="18"/>
                <w:szCs w:val="18"/>
              </w:rPr>
              <w:t>市场的情况，收集信息及时调整，保持公司</w:t>
            </w: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服务</w:t>
            </w:r>
            <w:r>
              <w:rPr>
                <w:rFonts w:hint="eastAsia" w:ascii="宋体" w:hAnsi="宋体" w:cs="宋体"/>
                <w:sz w:val="18"/>
                <w:szCs w:val="18"/>
              </w:rPr>
              <w:t>的竞争力。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市场运营部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有效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2020-03-09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49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84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市场</w:t>
            </w:r>
          </w:p>
        </w:tc>
        <w:tc>
          <w:tcPr>
            <w:tcW w:w="163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市场稳定性</w:t>
            </w:r>
          </w:p>
        </w:tc>
        <w:tc>
          <w:tcPr>
            <w:tcW w:w="4318" w:type="dxa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</w:rPr>
              <w:t>质量风险：</w:t>
            </w:r>
            <w:r>
              <w:rPr>
                <w:rFonts w:hint="eastAsia" w:ascii="宋体" w:hAnsi="宋体" w:cs="宋体"/>
                <w:sz w:val="18"/>
                <w:szCs w:val="18"/>
              </w:rPr>
              <w:t>市场稳定性较差，会给公司进行战略规划提升难度。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</w:rPr>
              <w:t>质量机遇：</w:t>
            </w:r>
            <w:r>
              <w:rPr>
                <w:rFonts w:hint="eastAsia" w:ascii="宋体" w:hAnsi="宋体" w:cs="宋体"/>
                <w:sz w:val="18"/>
                <w:szCs w:val="18"/>
              </w:rPr>
              <w:t>市场不稳定，也会带来新的发展机遇。</w:t>
            </w:r>
          </w:p>
        </w:tc>
        <w:tc>
          <w:tcPr>
            <w:tcW w:w="1346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×4=12</w:t>
            </w:r>
          </w:p>
        </w:tc>
        <w:tc>
          <w:tcPr>
            <w:tcW w:w="73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一般</w:t>
            </w:r>
          </w:p>
        </w:tc>
        <w:tc>
          <w:tcPr>
            <w:tcW w:w="2964" w:type="dxa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开拓新市场，评估成熟市场的趋势，及时为公司提供新的市场。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市场运营部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有效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2020-03-09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  <w:jc w:val="center"/>
        </w:trPr>
        <w:tc>
          <w:tcPr>
            <w:tcW w:w="498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外部因素</w:t>
            </w:r>
          </w:p>
        </w:tc>
        <w:tc>
          <w:tcPr>
            <w:tcW w:w="848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市场</w:t>
            </w:r>
          </w:p>
        </w:tc>
        <w:tc>
          <w:tcPr>
            <w:tcW w:w="1637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市场容量</w:t>
            </w:r>
          </w:p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竞争力</w:t>
            </w:r>
          </w:p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价格风险</w:t>
            </w:r>
          </w:p>
        </w:tc>
        <w:tc>
          <w:tcPr>
            <w:tcW w:w="4318" w:type="dxa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</w:rPr>
              <w:t>质量风险：</w:t>
            </w:r>
            <w:r>
              <w:rPr>
                <w:rFonts w:hint="eastAsia" w:ascii="宋体" w:hAnsi="宋体" w:cs="宋体"/>
                <w:sz w:val="18"/>
                <w:szCs w:val="18"/>
              </w:rPr>
              <w:t>公司目前市场占有率和领先趋势已经比较高，但是</w:t>
            </w: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服务</w:t>
            </w:r>
            <w:r>
              <w:rPr>
                <w:rFonts w:hint="eastAsia" w:ascii="宋体" w:hAnsi="宋体" w:cs="宋体"/>
                <w:sz w:val="18"/>
                <w:szCs w:val="18"/>
              </w:rPr>
              <w:t>市场容量毕竟有限，同时加上竞争对手的正在模仿公司的发展方式，对公司</w:t>
            </w: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服务</w:t>
            </w:r>
            <w:r>
              <w:rPr>
                <w:rFonts w:hint="eastAsia" w:ascii="宋体" w:hAnsi="宋体" w:cs="宋体"/>
                <w:sz w:val="18"/>
                <w:szCs w:val="18"/>
              </w:rPr>
              <w:t>的竞争力和价格都产生比较大的压力，市场风险比较大。</w:t>
            </w:r>
          </w:p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</w:rPr>
              <w:t>质量机遇：</w:t>
            </w:r>
            <w:r>
              <w:rPr>
                <w:rFonts w:hint="eastAsia" w:ascii="宋体" w:hAnsi="宋体" w:cs="宋体"/>
                <w:sz w:val="18"/>
                <w:szCs w:val="18"/>
              </w:rPr>
              <w:t>通过梳理公司</w:t>
            </w: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服务</w:t>
            </w:r>
            <w:r>
              <w:rPr>
                <w:rFonts w:hint="eastAsia" w:ascii="宋体" w:hAnsi="宋体" w:cs="宋体"/>
                <w:sz w:val="18"/>
                <w:szCs w:val="18"/>
              </w:rPr>
              <w:t>，需找好的新的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服务</w:t>
            </w:r>
            <w:r>
              <w:rPr>
                <w:rFonts w:hint="eastAsia" w:ascii="宋体" w:hAnsi="宋体" w:cs="宋体"/>
                <w:sz w:val="18"/>
                <w:szCs w:val="18"/>
              </w:rPr>
              <w:t>，同时促进公司内部的管理水平，保持质量领先，提高公司的竞争优势。</w:t>
            </w:r>
          </w:p>
        </w:tc>
        <w:tc>
          <w:tcPr>
            <w:tcW w:w="1346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×4=12</w:t>
            </w:r>
          </w:p>
        </w:tc>
        <w:tc>
          <w:tcPr>
            <w:tcW w:w="739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一般</w:t>
            </w:r>
          </w:p>
        </w:tc>
        <w:tc>
          <w:tcPr>
            <w:tcW w:w="2964" w:type="dxa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1.完善公司内部管理制度，加强部门的考核，提高公司管理水平，提高公司</w:t>
            </w: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服务</w:t>
            </w:r>
            <w:r>
              <w:rPr>
                <w:rFonts w:hint="eastAsia" w:ascii="宋体" w:hAnsi="宋体" w:cs="宋体"/>
                <w:sz w:val="18"/>
                <w:szCs w:val="18"/>
              </w:rPr>
              <w:t>质量，保持竞争的优势；</w:t>
            </w:r>
          </w:p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2.积极开拓新</w:t>
            </w: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服务</w:t>
            </w:r>
            <w:r>
              <w:rPr>
                <w:rFonts w:hint="eastAsia" w:ascii="宋体" w:hAnsi="宋体" w:cs="宋体"/>
                <w:sz w:val="18"/>
                <w:szCs w:val="18"/>
              </w:rPr>
              <w:t>市场，储备新的</w:t>
            </w: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服务</w:t>
            </w:r>
            <w:r>
              <w:rPr>
                <w:rFonts w:hint="eastAsia" w:ascii="宋体" w:hAnsi="宋体" w:cs="宋体"/>
                <w:sz w:val="18"/>
                <w:szCs w:val="18"/>
              </w:rPr>
              <w:t>，提高市场容量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市场运营部</w:t>
            </w:r>
            <w:r>
              <w:rPr>
                <w:rFonts w:hint="eastAsia" w:ascii="宋体" w:hAnsi="宋体" w:cs="宋体"/>
                <w:sz w:val="18"/>
                <w:szCs w:val="18"/>
              </w:rPr>
              <w:t>、管理层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有效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2020-03-09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9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84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产品</w:t>
            </w:r>
            <w:r>
              <w:rPr>
                <w:rFonts w:hint="eastAsia" w:ascii="宋体" w:hAnsi="宋体" w:cs="宋体"/>
                <w:sz w:val="18"/>
                <w:szCs w:val="18"/>
              </w:rPr>
              <w:t>供应</w:t>
            </w:r>
          </w:p>
        </w:tc>
        <w:tc>
          <w:tcPr>
            <w:tcW w:w="1637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产品</w:t>
            </w:r>
            <w:r>
              <w:rPr>
                <w:rFonts w:hint="eastAsia" w:ascii="宋体" w:hAnsi="宋体" w:cs="宋体"/>
                <w:sz w:val="18"/>
                <w:szCs w:val="18"/>
              </w:rPr>
              <w:t>价格</w:t>
            </w: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供应渠道</w:t>
            </w:r>
          </w:p>
        </w:tc>
        <w:tc>
          <w:tcPr>
            <w:tcW w:w="4318" w:type="dxa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</w:rPr>
              <w:t>质量风险：</w:t>
            </w:r>
            <w:r>
              <w:rPr>
                <w:rFonts w:hint="eastAsia" w:ascii="宋体" w:hAnsi="宋体" w:cs="宋体"/>
                <w:sz w:val="18"/>
                <w:szCs w:val="18"/>
              </w:rPr>
              <w:t>目前公司</w:t>
            </w: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产品</w:t>
            </w:r>
            <w:r>
              <w:rPr>
                <w:rFonts w:hint="eastAsia" w:ascii="宋体" w:hAnsi="宋体" w:cs="宋体"/>
                <w:sz w:val="18"/>
                <w:szCs w:val="18"/>
              </w:rPr>
              <w:t>供应稳定，但是部分</w:t>
            </w: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产品</w:t>
            </w:r>
            <w:r>
              <w:rPr>
                <w:rFonts w:hint="eastAsia" w:ascii="宋体" w:hAnsi="宋体" w:cs="宋体"/>
                <w:sz w:val="18"/>
                <w:szCs w:val="18"/>
              </w:rPr>
              <w:t>供应发生很大的变化，给公司的采购带来一定的风险。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</w:rPr>
              <w:t>质量机遇：</w:t>
            </w: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产品</w:t>
            </w:r>
            <w:r>
              <w:rPr>
                <w:rFonts w:hint="eastAsia" w:ascii="宋体" w:hAnsi="宋体" w:cs="宋体"/>
                <w:sz w:val="18"/>
                <w:szCs w:val="18"/>
              </w:rPr>
              <w:t>供应变动给公司带来不稳定因素较大。</w:t>
            </w:r>
          </w:p>
        </w:tc>
        <w:tc>
          <w:tcPr>
            <w:tcW w:w="1346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×4=16</w:t>
            </w:r>
          </w:p>
        </w:tc>
        <w:tc>
          <w:tcPr>
            <w:tcW w:w="73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高</w:t>
            </w:r>
          </w:p>
        </w:tc>
        <w:tc>
          <w:tcPr>
            <w:tcW w:w="2964" w:type="dxa"/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1.制定好</w:t>
            </w: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产品</w:t>
            </w:r>
            <w:r>
              <w:rPr>
                <w:rFonts w:hint="eastAsia" w:ascii="宋体" w:hAnsi="宋体" w:cs="宋体"/>
                <w:sz w:val="18"/>
                <w:szCs w:val="18"/>
              </w:rPr>
              <w:t>全年采购计划，拓展</w:t>
            </w: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产品</w:t>
            </w:r>
            <w:r>
              <w:rPr>
                <w:rFonts w:hint="eastAsia" w:ascii="宋体" w:hAnsi="宋体" w:cs="宋体"/>
                <w:sz w:val="18"/>
                <w:szCs w:val="18"/>
              </w:rPr>
              <w:t>采购的渠道，保证优质</w:t>
            </w: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产品</w:t>
            </w:r>
            <w:r>
              <w:rPr>
                <w:rFonts w:hint="eastAsia" w:ascii="宋体" w:hAnsi="宋体" w:cs="宋体"/>
                <w:sz w:val="18"/>
                <w:szCs w:val="18"/>
              </w:rPr>
              <w:t>的供应。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2.公司提供财务支持，对主要供应商的优质</w:t>
            </w: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产品</w:t>
            </w:r>
            <w:r>
              <w:rPr>
                <w:rFonts w:hint="eastAsia" w:ascii="宋体" w:hAnsi="宋体" w:cs="宋体"/>
                <w:sz w:val="18"/>
                <w:szCs w:val="18"/>
              </w:rPr>
              <w:t>保持价格优势，促进</w:t>
            </w: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产品</w:t>
            </w:r>
            <w:r>
              <w:rPr>
                <w:rFonts w:hint="eastAsia" w:ascii="宋体" w:hAnsi="宋体" w:cs="宋体"/>
                <w:sz w:val="18"/>
                <w:szCs w:val="18"/>
              </w:rPr>
              <w:t>的有序采购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行政人事部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有效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2020-03-09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5" w:hRule="atLeast"/>
          <w:jc w:val="center"/>
        </w:trPr>
        <w:tc>
          <w:tcPr>
            <w:tcW w:w="49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84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文化</w:t>
            </w:r>
          </w:p>
        </w:tc>
        <w:tc>
          <w:tcPr>
            <w:tcW w:w="163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主要销售区域消费习惯</w:t>
            </w:r>
          </w:p>
        </w:tc>
        <w:tc>
          <w:tcPr>
            <w:tcW w:w="4318" w:type="dxa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</w:rPr>
              <w:t>质量风险：</w:t>
            </w:r>
            <w:r>
              <w:rPr>
                <w:rFonts w:hint="eastAsia" w:ascii="宋体" w:hAnsi="宋体" w:cs="宋体"/>
                <w:sz w:val="18"/>
                <w:szCs w:val="18"/>
              </w:rPr>
              <w:t>公司目前主要销售区域习惯性的消费固定的</w:t>
            </w: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服务</w:t>
            </w:r>
            <w:r>
              <w:rPr>
                <w:rFonts w:hint="eastAsia" w:ascii="宋体" w:hAnsi="宋体" w:cs="宋体"/>
                <w:sz w:val="18"/>
                <w:szCs w:val="18"/>
              </w:rPr>
              <w:t>，同时顾客习惯从定点供应商采购，新</w:t>
            </w: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服务</w:t>
            </w:r>
            <w:r>
              <w:rPr>
                <w:rFonts w:hint="eastAsia" w:ascii="宋体" w:hAnsi="宋体" w:cs="宋体"/>
                <w:sz w:val="18"/>
                <w:szCs w:val="18"/>
              </w:rPr>
              <w:t>新客户开拓难度较大。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</w:rPr>
              <w:t>质量机遇：</w:t>
            </w:r>
            <w:r>
              <w:rPr>
                <w:rFonts w:hint="eastAsia" w:ascii="宋体" w:hAnsi="宋体" w:cs="宋体"/>
                <w:sz w:val="18"/>
                <w:szCs w:val="18"/>
              </w:rPr>
              <w:t>公司目前主要</w:t>
            </w: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服务</w:t>
            </w:r>
            <w:r>
              <w:rPr>
                <w:rFonts w:hint="eastAsia" w:ascii="宋体" w:hAnsi="宋体" w:cs="宋体"/>
                <w:sz w:val="18"/>
                <w:szCs w:val="18"/>
              </w:rPr>
              <w:t>客户满意度较高，具有一定的竞争优势。</w:t>
            </w:r>
          </w:p>
        </w:tc>
        <w:tc>
          <w:tcPr>
            <w:tcW w:w="1346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×2=6</w:t>
            </w:r>
          </w:p>
        </w:tc>
        <w:tc>
          <w:tcPr>
            <w:tcW w:w="73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一般</w:t>
            </w:r>
          </w:p>
        </w:tc>
        <w:tc>
          <w:tcPr>
            <w:tcW w:w="2964" w:type="dxa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及时关注公司</w:t>
            </w: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服务</w:t>
            </w:r>
            <w:r>
              <w:rPr>
                <w:rFonts w:hint="eastAsia" w:ascii="宋体" w:hAnsi="宋体" w:cs="宋体"/>
                <w:sz w:val="18"/>
                <w:szCs w:val="18"/>
              </w:rPr>
              <w:t>市场的情况，收集信息及时调整，保持公司</w:t>
            </w: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服务</w:t>
            </w:r>
            <w:r>
              <w:rPr>
                <w:rFonts w:hint="eastAsia" w:ascii="宋体" w:hAnsi="宋体" w:cs="宋体"/>
                <w:sz w:val="18"/>
                <w:szCs w:val="18"/>
              </w:rPr>
              <w:t>的竞争力。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市场运营部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有效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2020-03-09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  <w:jc w:val="center"/>
        </w:trPr>
        <w:tc>
          <w:tcPr>
            <w:tcW w:w="498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48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社会</w:t>
            </w:r>
          </w:p>
        </w:tc>
        <w:tc>
          <w:tcPr>
            <w:tcW w:w="1637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本地失业率</w:t>
            </w:r>
          </w:p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安全感</w:t>
            </w:r>
          </w:p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教育水平</w:t>
            </w:r>
          </w:p>
          <w:p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公共假日</w:t>
            </w:r>
          </w:p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工作时间</w:t>
            </w:r>
          </w:p>
        </w:tc>
        <w:tc>
          <w:tcPr>
            <w:tcW w:w="4318" w:type="dxa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</w:rPr>
              <w:t>质量风险：</w:t>
            </w:r>
            <w:r>
              <w:rPr>
                <w:rFonts w:hint="eastAsia" w:ascii="宋体" w:hAnsi="宋体" w:cs="宋体"/>
                <w:sz w:val="18"/>
                <w:szCs w:val="18"/>
              </w:rPr>
              <w:t>公司所在地社会形势比较稳定，失业率较低，人员安全感较高，同时教育水平和人员素质较好，公共假日和工作时间设置比较合理，相对风险较小。</w:t>
            </w:r>
          </w:p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</w:rPr>
              <w:t>质量机遇：</w:t>
            </w:r>
            <w:r>
              <w:rPr>
                <w:rFonts w:hint="eastAsia" w:ascii="宋体" w:hAnsi="宋体" w:cs="宋体"/>
                <w:sz w:val="18"/>
                <w:szCs w:val="18"/>
              </w:rPr>
              <w:t>公司目前所在区域的社会形势稳定，对公司的稳定发展提供比较好的环境。</w:t>
            </w:r>
          </w:p>
        </w:tc>
        <w:tc>
          <w:tcPr>
            <w:tcW w:w="1346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×2=4</w:t>
            </w:r>
          </w:p>
        </w:tc>
        <w:tc>
          <w:tcPr>
            <w:tcW w:w="739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低</w:t>
            </w:r>
          </w:p>
        </w:tc>
        <w:tc>
          <w:tcPr>
            <w:tcW w:w="2964" w:type="dxa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做好人员积极安抚工作，及时关注社会信息，为公司创造一个稳定的环境。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行政人事部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有效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2020-03-09</w:t>
            </w:r>
          </w:p>
        </w:tc>
      </w:tr>
    </w:tbl>
    <w:tbl>
      <w:tblPr>
        <w:tblStyle w:val="4"/>
        <w:tblpPr w:leftFromText="180" w:rightFromText="180" w:vertAnchor="text" w:horzAnchor="page" w:tblpX="650" w:tblpY="634"/>
        <w:tblOverlap w:val="never"/>
        <w:tblW w:w="158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826"/>
        <w:gridCol w:w="1651"/>
        <w:gridCol w:w="4323"/>
        <w:gridCol w:w="1306"/>
        <w:gridCol w:w="765"/>
        <w:gridCol w:w="3047"/>
        <w:gridCol w:w="1125"/>
        <w:gridCol w:w="1411"/>
        <w:gridCol w:w="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55" w:hRule="atLeast"/>
        </w:trPr>
        <w:tc>
          <w:tcPr>
            <w:tcW w:w="572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内部因素</w:t>
            </w:r>
          </w:p>
        </w:tc>
        <w:tc>
          <w:tcPr>
            <w:tcW w:w="826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公司运营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管理流程</w:t>
            </w:r>
          </w:p>
        </w:tc>
        <w:tc>
          <w:tcPr>
            <w:tcW w:w="4323" w:type="dxa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</w:rPr>
              <w:t>质量风险：</w:t>
            </w:r>
            <w:r>
              <w:rPr>
                <w:rFonts w:hint="eastAsia" w:ascii="宋体" w:hAnsi="宋体" w:cs="宋体"/>
                <w:sz w:val="18"/>
                <w:szCs w:val="18"/>
              </w:rPr>
              <w:t>目前公司管理流程基本覆盖了公司日常工作，但是流程执行力如果得不到保证，会对公司运行带来一定的风险。</w:t>
            </w:r>
          </w:p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</w:rPr>
              <w:t>质量机遇：</w:t>
            </w:r>
            <w:r>
              <w:rPr>
                <w:rFonts w:hint="eastAsia" w:ascii="宋体" w:hAnsi="宋体" w:cs="宋体"/>
                <w:spacing w:val="-6"/>
                <w:sz w:val="18"/>
                <w:szCs w:val="18"/>
              </w:rPr>
              <w:t>完善流程，提高执行力，可以提高公司的管理水平。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×4=12</w:t>
            </w:r>
          </w:p>
        </w:tc>
        <w:tc>
          <w:tcPr>
            <w:tcW w:w="765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一般</w:t>
            </w:r>
          </w:p>
        </w:tc>
        <w:tc>
          <w:tcPr>
            <w:tcW w:w="3047" w:type="dxa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1.各级部门必须严格按照流程开展日常工作，对出现的不符合情况及时调整文件，保持流程的可操作性；</w:t>
            </w:r>
          </w:p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2.公司组织定期组织进行流程的评审。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各部门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有效</w:t>
            </w:r>
          </w:p>
        </w:tc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2020-03-09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09" w:hRule="atLeast"/>
        </w:trPr>
        <w:tc>
          <w:tcPr>
            <w:tcW w:w="572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82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服务</w:t>
            </w:r>
            <w:r>
              <w:rPr>
                <w:rFonts w:hint="eastAsia" w:ascii="宋体" w:hAnsi="宋体" w:cs="宋体"/>
                <w:sz w:val="18"/>
                <w:szCs w:val="18"/>
              </w:rPr>
              <w:t>能力</w:t>
            </w:r>
          </w:p>
        </w:tc>
        <w:tc>
          <w:tcPr>
            <w:tcW w:w="4323" w:type="dxa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</w:rPr>
              <w:t>质量风险：</w:t>
            </w:r>
            <w:r>
              <w:rPr>
                <w:rFonts w:hint="eastAsia" w:ascii="宋体" w:hAnsi="宋体" w:cs="宋体"/>
                <w:sz w:val="18"/>
                <w:szCs w:val="18"/>
              </w:rPr>
              <w:t>公司受现有的场地限制，设施、设备已经趋于饱和，为公司发展提供限制。</w:t>
            </w:r>
          </w:p>
          <w:p>
            <w:pPr>
              <w:rPr>
                <w:rFonts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</w:rPr>
              <w:t>质量机遇：</w:t>
            </w:r>
            <w:r>
              <w:rPr>
                <w:rFonts w:hint="eastAsia" w:ascii="宋体" w:hAnsi="宋体" w:cs="宋体"/>
                <w:spacing w:val="-6"/>
                <w:sz w:val="18"/>
                <w:szCs w:val="18"/>
              </w:rPr>
              <w:t>开发高价值</w:t>
            </w:r>
            <w:r>
              <w:rPr>
                <w:rFonts w:hint="eastAsia" w:ascii="宋体" w:hAnsi="宋体" w:cs="宋体"/>
                <w:spacing w:val="-6"/>
                <w:sz w:val="18"/>
                <w:szCs w:val="18"/>
                <w:lang w:eastAsia="zh-CN"/>
              </w:rPr>
              <w:t>服务</w:t>
            </w:r>
            <w:r>
              <w:rPr>
                <w:rFonts w:hint="eastAsia" w:ascii="宋体" w:hAnsi="宋体" w:cs="宋体"/>
                <w:spacing w:val="-6"/>
                <w:sz w:val="18"/>
                <w:szCs w:val="18"/>
              </w:rPr>
              <w:t>，同时抓住国家出台新政策的良机，积极开拓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服务</w:t>
            </w:r>
            <w:r>
              <w:rPr>
                <w:rFonts w:hint="eastAsia" w:ascii="宋体" w:hAnsi="宋体" w:cs="宋体"/>
                <w:spacing w:val="-6"/>
                <w:sz w:val="18"/>
                <w:szCs w:val="18"/>
              </w:rPr>
              <w:t>市场，为公司发展提供新机遇。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×4=12</w:t>
            </w:r>
          </w:p>
        </w:tc>
        <w:tc>
          <w:tcPr>
            <w:tcW w:w="76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一般</w:t>
            </w:r>
          </w:p>
        </w:tc>
        <w:tc>
          <w:tcPr>
            <w:tcW w:w="3047" w:type="dxa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1. 加强安排计划的科学性，挖掘公司</w:t>
            </w: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服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务</w:t>
            </w:r>
            <w:r>
              <w:rPr>
                <w:rFonts w:hint="eastAsia" w:ascii="宋体" w:hAnsi="宋体" w:cs="宋体"/>
                <w:sz w:val="18"/>
                <w:szCs w:val="18"/>
              </w:rPr>
              <w:t>的潜能。</w:t>
            </w:r>
          </w:p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2.加强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服务</w:t>
            </w:r>
            <w:r>
              <w:rPr>
                <w:rFonts w:hint="eastAsia" w:ascii="宋体" w:hAnsi="宋体" w:cs="宋体"/>
                <w:sz w:val="18"/>
                <w:szCs w:val="18"/>
              </w:rPr>
              <w:t>的管理控制，提高</w:t>
            </w: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服务</w:t>
            </w:r>
            <w:r>
              <w:rPr>
                <w:rFonts w:hint="eastAsia" w:ascii="宋体" w:hAnsi="宋体" w:cs="宋体"/>
                <w:sz w:val="18"/>
                <w:szCs w:val="18"/>
              </w:rPr>
              <w:t>一次成功率。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3.按照公司的年度计划，做好新</w:t>
            </w: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服务</w:t>
            </w:r>
            <w:r>
              <w:rPr>
                <w:rFonts w:hint="eastAsia" w:ascii="宋体" w:hAnsi="宋体" w:cs="宋体"/>
                <w:sz w:val="18"/>
                <w:szCs w:val="18"/>
              </w:rPr>
              <w:t>，为公司后续发展提供储备力量。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研发部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有效</w:t>
            </w:r>
          </w:p>
        </w:tc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2020-03-09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52" w:hRule="atLeast"/>
        </w:trPr>
        <w:tc>
          <w:tcPr>
            <w:tcW w:w="572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82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售后服务</w:t>
            </w:r>
          </w:p>
        </w:tc>
        <w:tc>
          <w:tcPr>
            <w:tcW w:w="4323" w:type="dxa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</w:rPr>
              <w:t>质量风险：</w:t>
            </w:r>
            <w:r>
              <w:rPr>
                <w:rFonts w:hint="eastAsia" w:ascii="宋体" w:hAnsi="宋体" w:cs="宋体"/>
                <w:sz w:val="18"/>
                <w:szCs w:val="18"/>
              </w:rPr>
              <w:t>公司</w:t>
            </w: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服务</w:t>
            </w:r>
            <w:r>
              <w:rPr>
                <w:rFonts w:hint="eastAsia" w:ascii="宋体" w:hAnsi="宋体" w:cs="宋体"/>
                <w:sz w:val="18"/>
                <w:szCs w:val="18"/>
              </w:rPr>
              <w:t>售后服务处理不好，顾客埋怨投诉较多，会严重影响公司</w:t>
            </w: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服务</w:t>
            </w:r>
            <w:r>
              <w:rPr>
                <w:rFonts w:hint="eastAsia" w:ascii="宋体" w:hAnsi="宋体" w:cs="宋体"/>
                <w:sz w:val="18"/>
                <w:szCs w:val="18"/>
              </w:rPr>
              <w:t>，会给公司发展带来较大的风险；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</w:rPr>
              <w:t>质量机遇：</w:t>
            </w:r>
            <w:r>
              <w:rPr>
                <w:rFonts w:hint="eastAsia" w:ascii="宋体" w:hAnsi="宋体" w:cs="宋体"/>
                <w:sz w:val="18"/>
                <w:szCs w:val="18"/>
              </w:rPr>
              <w:t>售后服务处理得当，会给公司带来额外的发展机遇。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×4=8</w:t>
            </w:r>
          </w:p>
        </w:tc>
        <w:tc>
          <w:tcPr>
            <w:tcW w:w="76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一般</w:t>
            </w:r>
          </w:p>
        </w:tc>
        <w:tc>
          <w:tcPr>
            <w:tcW w:w="3047" w:type="dxa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严格按照售后服务管理规定，做好客户服务工作，提高客户满意度。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市场运营部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有效</w:t>
            </w:r>
          </w:p>
        </w:tc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2020-03-09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4" w:hRule="atLeast"/>
        </w:trPr>
        <w:tc>
          <w:tcPr>
            <w:tcW w:w="572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内部因素</w:t>
            </w:r>
          </w:p>
        </w:tc>
        <w:tc>
          <w:tcPr>
            <w:tcW w:w="826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财务状况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费用支付</w:t>
            </w:r>
          </w:p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资金回收</w:t>
            </w:r>
          </w:p>
        </w:tc>
        <w:tc>
          <w:tcPr>
            <w:tcW w:w="4323" w:type="dxa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</w:rPr>
              <w:t>质量风险：</w:t>
            </w:r>
            <w:r>
              <w:rPr>
                <w:rFonts w:hint="eastAsia" w:ascii="宋体" w:hAnsi="宋体" w:cs="宋体"/>
                <w:sz w:val="18"/>
                <w:szCs w:val="18"/>
              </w:rPr>
              <w:t>目前公司</w:t>
            </w: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服务</w:t>
            </w:r>
            <w:r>
              <w:rPr>
                <w:rFonts w:hint="eastAsia" w:ascii="宋体" w:hAnsi="宋体" w:cs="宋体"/>
                <w:sz w:val="18"/>
                <w:szCs w:val="18"/>
              </w:rPr>
              <w:t>主要销售区域的经济整体情况低迷，同时国内经济形势趋势严峻，加上银行收紧贷款的发放，给公司带来比较大的财务压力。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应收款无法及时到位，增加了坏账的出现率。</w:t>
            </w:r>
          </w:p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</w:rPr>
              <w:t>质量机遇：</w:t>
            </w:r>
            <w:r>
              <w:rPr>
                <w:rFonts w:hint="eastAsia" w:ascii="宋体" w:hAnsi="宋体" w:cs="宋体"/>
                <w:sz w:val="18"/>
                <w:szCs w:val="18"/>
              </w:rPr>
              <w:t>财务状况处理得当，会提高公司整体的竞争力。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×3=9</w:t>
            </w:r>
          </w:p>
        </w:tc>
        <w:tc>
          <w:tcPr>
            <w:tcW w:w="765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一般</w:t>
            </w:r>
          </w:p>
        </w:tc>
        <w:tc>
          <w:tcPr>
            <w:tcW w:w="3047" w:type="dxa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1. 加快资金的回笼，减小公司资金压力，降低坏账出现的风险。</w:t>
            </w:r>
          </w:p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2.根据公司财务情况做好财务预算，防止出现财务风险。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财务部、市场运营部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有效</w:t>
            </w:r>
          </w:p>
        </w:tc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2020-03-09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4" w:hRule="atLeast"/>
        </w:trPr>
        <w:tc>
          <w:tcPr>
            <w:tcW w:w="572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82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人力资源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人员的流动</w:t>
            </w:r>
          </w:p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员工业务素质</w:t>
            </w: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绩效考核</w:t>
            </w:r>
          </w:p>
        </w:tc>
        <w:tc>
          <w:tcPr>
            <w:tcW w:w="4323" w:type="dxa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</w:rPr>
              <w:t>质量风险：</w:t>
            </w:r>
            <w:r>
              <w:rPr>
                <w:rFonts w:hint="eastAsia" w:ascii="宋体" w:hAnsi="宋体" w:cs="宋体"/>
                <w:sz w:val="18"/>
                <w:szCs w:val="18"/>
              </w:rPr>
              <w:t>公司目前人员特别是优秀人才被外单位吸引离开的情况还是存在，对公司是比较大的损失。员工业务素质在一定程度上存在参差不齐的情况，加上绩效考核不能有效落实，会对工作完成质量造成不好的影响。</w:t>
            </w:r>
          </w:p>
          <w:p>
            <w:pPr>
              <w:rPr>
                <w:rFonts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</w:rPr>
              <w:t>质量机遇：</w:t>
            </w:r>
            <w:r>
              <w:rPr>
                <w:rFonts w:hint="eastAsia" w:ascii="宋体" w:hAnsi="宋体" w:cs="宋体"/>
                <w:sz w:val="18"/>
                <w:szCs w:val="18"/>
              </w:rPr>
              <w:t>公司目前主要人员还算稳定，各项绩效考核能顺利开展，为公司的发展提供一个比较好的基础。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×3=9</w:t>
            </w:r>
          </w:p>
        </w:tc>
        <w:tc>
          <w:tcPr>
            <w:tcW w:w="76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一般</w:t>
            </w:r>
          </w:p>
        </w:tc>
        <w:tc>
          <w:tcPr>
            <w:tcW w:w="3047" w:type="dxa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1.各部门要及时关注员工的心理变换，注意工作方式，创造良好的工作环境，提高员工的归属感</w:t>
            </w:r>
          </w:p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2.做好人员的安抚，防止人员流失后给公司带来的风险；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3.各职能部门加强绩效考核的有效开展，通过考核促进员工的工作积极性，提高业务素质。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行政人事部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有效</w:t>
            </w:r>
          </w:p>
        </w:tc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2020-03-09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3" w:hRule="atLeast"/>
        </w:trPr>
        <w:tc>
          <w:tcPr>
            <w:tcW w:w="572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82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资源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基础设施管理</w:t>
            </w: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公司运行环境</w:t>
            </w:r>
          </w:p>
        </w:tc>
        <w:tc>
          <w:tcPr>
            <w:tcW w:w="4323" w:type="dxa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</w:rPr>
              <w:t>质量风险：</w:t>
            </w:r>
            <w:r>
              <w:rPr>
                <w:rFonts w:hint="eastAsia" w:ascii="宋体" w:hAnsi="宋体" w:cs="宋体"/>
                <w:sz w:val="18"/>
                <w:szCs w:val="18"/>
              </w:rPr>
              <w:t>如果公司现有的运行环境以及设施、设备管理不善，造成的</w:t>
            </w: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服务</w:t>
            </w:r>
            <w:r>
              <w:rPr>
                <w:rFonts w:hint="eastAsia" w:ascii="宋体" w:hAnsi="宋体" w:cs="宋体"/>
                <w:sz w:val="18"/>
                <w:szCs w:val="18"/>
              </w:rPr>
              <w:t>停滞，会给公司造成很大的</w:t>
            </w: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服务</w:t>
            </w:r>
            <w:r>
              <w:rPr>
                <w:rFonts w:hint="eastAsia" w:ascii="宋体" w:hAnsi="宋体" w:cs="宋体"/>
                <w:sz w:val="18"/>
                <w:szCs w:val="18"/>
              </w:rPr>
              <w:t>风险。</w:t>
            </w:r>
            <w:bookmarkStart w:id="0" w:name="_GoBack"/>
          </w:p>
          <w:bookmarkEnd w:id="0"/>
          <w:p>
            <w:pPr>
              <w:rPr>
                <w:rFonts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</w:rPr>
              <w:t>质量机遇：</w:t>
            </w:r>
            <w:r>
              <w:rPr>
                <w:rFonts w:hint="eastAsia" w:ascii="宋体" w:hAnsi="宋体" w:cs="宋体"/>
                <w:sz w:val="18"/>
                <w:szCs w:val="18"/>
              </w:rPr>
              <w:t>基础设备维护良好，为公司发展创造良好的环境</w:t>
            </w:r>
            <w:r>
              <w:rPr>
                <w:rFonts w:hint="eastAsia" w:ascii="宋体" w:hAnsi="宋体" w:cs="宋体"/>
                <w:spacing w:val="-6"/>
                <w:sz w:val="18"/>
                <w:szCs w:val="18"/>
              </w:rPr>
              <w:t>。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×3=9</w:t>
            </w:r>
          </w:p>
        </w:tc>
        <w:tc>
          <w:tcPr>
            <w:tcW w:w="76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一般</w:t>
            </w:r>
          </w:p>
        </w:tc>
        <w:tc>
          <w:tcPr>
            <w:tcW w:w="3047" w:type="dxa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严格按照计划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做好设施的</w:t>
            </w:r>
            <w:r>
              <w:rPr>
                <w:rFonts w:hint="eastAsia" w:ascii="宋体" w:hAnsi="宋体" w:cs="宋体"/>
                <w:sz w:val="18"/>
                <w:szCs w:val="18"/>
              </w:rPr>
              <w:t>维护工作，提高公司设备、设施稳定性。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产品部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有效</w:t>
            </w:r>
          </w:p>
        </w:tc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2020-03-09</w:t>
            </w:r>
          </w:p>
        </w:tc>
      </w:tr>
    </w:tbl>
    <w:p>
      <w:pPr>
        <w:rPr>
          <w:sz w:val="18"/>
          <w:szCs w:val="18"/>
        </w:rPr>
      </w:pPr>
    </w:p>
    <w:sectPr>
      <w:headerReference r:id="rId3" w:type="default"/>
      <w:pgSz w:w="16838" w:h="11906" w:orient="landscape"/>
      <w:pgMar w:top="567" w:right="283" w:bottom="567" w:left="283" w:header="397" w:footer="397" w:gutter="0"/>
      <w:cols w:space="0" w:num="1"/>
      <w:rtlGutter w:val="0"/>
      <w:docGrid w:type="lines" w:linePitch="31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Microsoft JhengHei UI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default"/>
        <w:lang w:val="en-US"/>
      </w:rPr>
    </w:pPr>
    <w:r>
      <w:rPr>
        <w:rFonts w:hint="eastAsia" w:ascii="宋体" w:hAnsi="宋体" w:eastAsia="宋体" w:cs="宋体"/>
        <w:i w:val="0"/>
        <w:color w:val="000000"/>
        <w:kern w:val="0"/>
        <w:sz w:val="18"/>
        <w:szCs w:val="18"/>
        <w:u w:val="none"/>
        <w:lang w:val="en-US" w:eastAsia="zh-CN" w:bidi="ar"/>
      </w:rPr>
      <w:t>编号:SF-QES-P-04-01   版本:A/0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documentProtection w:enforcement="0"/>
  <w:defaultTabStop w:val="420"/>
  <w:drawingGridVerticalSpacing w:val="158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AB230E7"/>
    <w:rsid w:val="1DEA58A3"/>
    <w:rsid w:val="2E577463"/>
    <w:rsid w:val="3D5E2044"/>
    <w:rsid w:val="4DE53E48"/>
    <w:rsid w:val="630B703E"/>
    <w:rsid w:val="64515850"/>
    <w:rsid w:val="7A9A374D"/>
    <w:rsid w:val="7C9B2F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PMingLiU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2017-09-21T13:21:00Z</dcterms:created>
  <dc:creator>zjy_95</dc:creator>
  <cp:lastModifiedBy>顾小离</cp:lastModifiedBy>
  <dcterms:modified xsi:type="dcterms:W3CDTF">2020-08-12T06:31:01Z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