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estratégico 2026</w:t>
      </w:r>
    </w:p>
    <w:p>
      <w:r>
        <w:t>Comercializadora Del Sur — Visión: consolidar la cartera de clientes en la región centro.</w:t>
      </w:r>
    </w:p>
    <w:p>
      <w:r>
        <w:t>Eje 1: canal digital (la web nueva es prioritaria).</w:t>
      </w:r>
    </w:p>
    <w:p>
      <w:r>
        <w:t>Eje 2: eficiencia operativa (centralizar documentos, FIN de los archivos en PCs individuales).</w:t>
      </w:r>
    </w:p>
    <w:p>
      <w:r>
        <w:t>Eje 3: nómina y capacitación. Documento CONFIDENCIAL: no compartir fuera de dirección.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