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91673" w14:textId="77777777" w:rsidR="007756DF" w:rsidRDefault="007756DF" w:rsidP="007756DF">
      <w:pPr>
        <w:pStyle w:val="Title"/>
      </w:pPr>
      <w:r>
        <w:t>Cosmology in SPAC Theory</w:t>
      </w:r>
    </w:p>
    <w:p w14:paraId="4FB48E5D" w14:textId="77777777" w:rsidR="007756DF" w:rsidRDefault="007756DF" w:rsidP="007756DF">
      <w:pPr>
        <w:pStyle w:val="Heading1"/>
      </w:pPr>
      <w:r>
        <w:t>Overview</w:t>
      </w:r>
    </w:p>
    <w:p w14:paraId="18BC93FD" w14:textId="77777777" w:rsidR="007756DF" w:rsidRDefault="007756DF" w:rsidP="007756DF">
      <w:r w:rsidRPr="007756DF">
        <w:t>SPAC theory introduces a natural cosmological framework in which the universe’s expansion, the formation of cosmic structures, and the behavior of the dark sector all emerge from the dynamics of SPAC registration. This approach stands in contrast to traditional cosmology, which typically relies on assumed spacetime fields. Instead, SPAC theory attributes cosmological evolution to the collective processes involving SPACs.</w:t>
      </w:r>
    </w:p>
    <w:p w14:paraId="362C7263" w14:textId="77777777" w:rsidR="007756DF" w:rsidRDefault="007756DF" w:rsidP="007756DF">
      <w:pPr>
        <w:pStyle w:val="Heading2"/>
      </w:pPr>
      <w:r>
        <w:lastRenderedPageBreak/>
        <w:t>1. Core Idea</w:t>
      </w:r>
    </w:p>
    <w:p w14:paraId="71C618D1" w14:textId="77777777" w:rsidR="007756DF" w:rsidRDefault="007756DF" w:rsidP="007756DF">
      <w:r w:rsidRPr="007756DF">
        <w:t>According to SPAC theory, the universe evolves due to the collective registration and distribution of SPACs, not through the expansion of a pre-existing spacetime. The following points summarize the central concepts:</w:t>
      </w:r>
    </w:p>
    <w:p w14:paraId="0C80EA18" w14:textId="77777777" w:rsidR="007756DF" w:rsidRDefault="007756DF" w:rsidP="007756DF">
      <w:pPr>
        <w:pStyle w:val="ListParagraph"/>
        <w:numPr>
          <w:ilvl w:val="0"/>
          <w:numId w:val="10"/>
        </w:numPr>
      </w:pPr>
      <w:r w:rsidRPr="007756DF">
        <w:t>SPAC Density (</w:t>
      </w:r>
      <w:proofErr w:type="spellStart"/>
      <w:r w:rsidRPr="007756DF">
        <w:t>ρSPAC</w:t>
      </w:r>
      <w:proofErr w:type="spellEnd"/>
      <w:r w:rsidRPr="007756DF">
        <w:t>): The density of SPACs drives gravitational effects throughout the universe.</w:t>
      </w:r>
    </w:p>
    <w:p w14:paraId="0862D464" w14:textId="77777777" w:rsidR="007756DF" w:rsidRDefault="007756DF" w:rsidP="007756DF">
      <w:pPr>
        <w:pStyle w:val="ListParagraph"/>
        <w:numPr>
          <w:ilvl w:val="0"/>
          <w:numId w:val="10"/>
        </w:numPr>
      </w:pPr>
      <w:r w:rsidRPr="007756DF">
        <w:t>C-axis Coherence: This coherence regulates transitions from quantum behavior to classical phenomena.</w:t>
      </w:r>
    </w:p>
    <w:p w14:paraId="7B11956C" w14:textId="77777777" w:rsidR="007756DF" w:rsidRDefault="007756DF" w:rsidP="007756DF">
      <w:pPr>
        <w:pStyle w:val="ListParagraph"/>
        <w:numPr>
          <w:ilvl w:val="0"/>
          <w:numId w:val="10"/>
        </w:numPr>
      </w:pPr>
      <w:r w:rsidRPr="007756DF">
        <w:t>Emergent Spacetime and Energy: Observed spacetime, energy, and expansion are averages that arise naturally from the collective behavior of SPACs.</w:t>
      </w:r>
    </w:p>
    <w:p w14:paraId="6350C171" w14:textId="77777777" w:rsidR="007756DF" w:rsidRDefault="007756DF" w:rsidP="007756DF">
      <w:pPr>
        <w:pStyle w:val="Heading2"/>
      </w:pPr>
      <w:r>
        <w:t>2. The SPAC Cosmological Metric</w:t>
      </w:r>
    </w:p>
    <w:p w14:paraId="02F4FD9A" w14:textId="77777777" w:rsidR="007756DF" w:rsidRDefault="007756DF" w:rsidP="007756DF">
      <w:r w:rsidRPr="007756DF">
        <w:t>Within this framework, the universe is described as emergent, homogeneous, and isotropic. The metric is given by:</w:t>
      </w:r>
    </w:p>
    <w:p w14:paraId="4C0E5716" w14:textId="77777777" w:rsidR="007756DF" w:rsidRDefault="007756DF" w:rsidP="007756DF">
      <w:r w:rsidRPr="007756DF">
        <w:t>ds2 = dt2 − a(t)2 [dr2</w:t>
      </w:r>
      <w:proofErr w:type="gramStart"/>
      <w:r w:rsidRPr="007756DF">
        <w:t>/(</w:t>
      </w:r>
      <w:proofErr w:type="gramEnd"/>
      <w:r w:rsidRPr="007756DF">
        <w:t>1 − k r2) + r2dΩ2]</w:t>
      </w:r>
    </w:p>
    <w:p w14:paraId="2F1A8E7F" w14:textId="77777777" w:rsidR="007756DF" w:rsidRDefault="007756DF" w:rsidP="007756DF">
      <w:pPr>
        <w:pStyle w:val="ListParagraph"/>
        <w:numPr>
          <w:ilvl w:val="0"/>
          <w:numId w:val="11"/>
        </w:numPr>
      </w:pPr>
      <w:r w:rsidRPr="007756DF">
        <w:t>a(t): The effective scale factor, derived from the average SPAC density.</w:t>
      </w:r>
    </w:p>
    <w:p w14:paraId="3E2BE7A8" w14:textId="77777777" w:rsidR="007756DF" w:rsidRDefault="007756DF" w:rsidP="007756DF">
      <w:pPr>
        <w:pStyle w:val="ListParagraph"/>
        <w:numPr>
          <w:ilvl w:val="0"/>
          <w:numId w:val="11"/>
        </w:numPr>
      </w:pPr>
      <w:r w:rsidRPr="007756DF">
        <w:t>k: The curvature parameter, which can be positive, zero, or negative. It emerges from gradients in SPAC distribution.</w:t>
      </w:r>
    </w:p>
    <w:p w14:paraId="7003E0C2" w14:textId="77777777" w:rsidR="007756DF" w:rsidRDefault="007756DF" w:rsidP="007756DF">
      <w:pPr>
        <w:pStyle w:val="ListParagraph"/>
        <w:numPr>
          <w:ilvl w:val="0"/>
          <w:numId w:val="11"/>
        </w:numPr>
      </w:pPr>
      <w:r w:rsidRPr="007756DF">
        <w:t>t: The emergent local T-axis, averaged across SPACs.</w:t>
      </w:r>
    </w:p>
    <w:p w14:paraId="4398D353" w14:textId="77777777" w:rsidR="007756DF" w:rsidRDefault="007756DF" w:rsidP="007756DF">
      <w:pPr>
        <w:pStyle w:val="Heading2"/>
      </w:pPr>
      <w:r>
        <w:t>3. Friedmann Equations as SPAC Limits</w:t>
      </w:r>
    </w:p>
    <w:p w14:paraId="0A051CE9" w14:textId="77777777" w:rsidR="007756DF" w:rsidRDefault="007756DF" w:rsidP="007756DF">
      <w:r w:rsidRPr="007756DF">
        <w:t>SPAC registration density leads to a version of the Friedmann equations:</w:t>
      </w:r>
    </w:p>
    <w:p w14:paraId="16995070" w14:textId="77777777" w:rsidR="007756DF" w:rsidRDefault="007756DF" w:rsidP="007756DF">
      <w:r w:rsidRPr="007756DF">
        <w:t>(ȧ/a)2 = (8πG/</w:t>
      </w:r>
      <w:proofErr w:type="gramStart"/>
      <w:r w:rsidRPr="007756DF">
        <w:t>3)⟨</w:t>
      </w:r>
      <w:proofErr w:type="spellStart"/>
      <w:proofErr w:type="gramEnd"/>
      <w:r w:rsidRPr="007756DF">
        <w:t>ρSPAC</w:t>
      </w:r>
      <w:proofErr w:type="spellEnd"/>
      <w:r w:rsidRPr="007756DF">
        <w:t>⟩ − k/a2 + ΛSPAC/3</w:t>
      </w:r>
    </w:p>
    <w:p w14:paraId="273B2EE3" w14:textId="77777777" w:rsidR="007756DF" w:rsidRDefault="007756DF" w:rsidP="007756DF">
      <w:pPr>
        <w:pStyle w:val="ListParagraph"/>
        <w:numPr>
          <w:ilvl w:val="0"/>
          <w:numId w:val="12"/>
        </w:numPr>
      </w:pPr>
      <w:r w:rsidRPr="007756DF">
        <w:t>⟨</w:t>
      </w:r>
      <w:proofErr w:type="spellStart"/>
      <w:r w:rsidRPr="007756DF">
        <w:t>ρSPAC</w:t>
      </w:r>
      <w:proofErr w:type="spellEnd"/>
      <w:r w:rsidRPr="007756DF">
        <w:t>⟩: The mean SPAC density in the classical limit.</w:t>
      </w:r>
    </w:p>
    <w:p w14:paraId="1DFD50FB" w14:textId="77777777" w:rsidR="007756DF" w:rsidRDefault="007756DF" w:rsidP="007756DF">
      <w:pPr>
        <w:pStyle w:val="ListParagraph"/>
        <w:numPr>
          <w:ilvl w:val="0"/>
          <w:numId w:val="12"/>
        </w:numPr>
      </w:pPr>
      <w:r w:rsidRPr="007756DF">
        <w:t>ΛSPAC: The global baseline registration, corresponding to dark energy.</w:t>
      </w:r>
    </w:p>
    <w:p w14:paraId="4B0A517E" w14:textId="77777777" w:rsidR="007756DF" w:rsidRDefault="007756DF" w:rsidP="007756DF">
      <w:pPr>
        <w:pStyle w:val="ListParagraph"/>
        <w:numPr>
          <w:ilvl w:val="0"/>
          <w:numId w:val="12"/>
        </w:numPr>
      </w:pPr>
      <w:r w:rsidRPr="007756DF">
        <w:t>k: The curvature parameter, arising from inhomogeneous SPAC distribution.</w:t>
      </w:r>
    </w:p>
    <w:p w14:paraId="42D23470" w14:textId="77777777" w:rsidR="007756DF" w:rsidRDefault="007756DF" w:rsidP="007756DF">
      <w:r w:rsidRPr="007756DF">
        <w:t>Classical Friedmann cosmology emerges naturally from the collective dynamics of SPACs.</w:t>
      </w:r>
    </w:p>
    <w:p w14:paraId="6E2981B4" w14:textId="77777777" w:rsidR="007756DF" w:rsidRDefault="007756DF" w:rsidP="007756DF">
      <w:pPr>
        <w:pStyle w:val="Heading2"/>
      </w:pPr>
      <w:r>
        <w:t>4. Cosmic Expansion Mechanism</w:t>
      </w:r>
    </w:p>
    <w:p w14:paraId="4C5DC2BF" w14:textId="77777777" w:rsidR="007756DF" w:rsidRDefault="007756DF" w:rsidP="007756DF">
      <w:r w:rsidRPr="007756DF">
        <w:t>Cosmic expansion within SPAC theory is explained as follows:</w:t>
      </w:r>
    </w:p>
    <w:p w14:paraId="26DAA340" w14:textId="77777777" w:rsidR="007756DF" w:rsidRDefault="007756DF" w:rsidP="007756DF">
      <w:pPr>
        <w:pStyle w:val="ListParagraph"/>
        <w:numPr>
          <w:ilvl w:val="0"/>
          <w:numId w:val="13"/>
        </w:numPr>
      </w:pPr>
      <w:r w:rsidRPr="007756DF">
        <w:t>Low-density regions allow C-axis freedom to spread.</w:t>
      </w:r>
    </w:p>
    <w:p w14:paraId="2012282A" w14:textId="77777777" w:rsidR="007756DF" w:rsidRDefault="007756DF" w:rsidP="007756DF">
      <w:pPr>
        <w:pStyle w:val="ListParagraph"/>
        <w:numPr>
          <w:ilvl w:val="0"/>
          <w:numId w:val="13"/>
        </w:numPr>
      </w:pPr>
      <w:r w:rsidRPr="007756DF">
        <w:t>High-density regions resist further registration.</w:t>
      </w:r>
    </w:p>
    <w:p w14:paraId="10B9F8BC" w14:textId="77777777" w:rsidR="007756DF" w:rsidRDefault="007756DF" w:rsidP="007756DF">
      <w:pPr>
        <w:pStyle w:val="ListParagraph"/>
        <w:numPr>
          <w:ilvl w:val="0"/>
          <w:numId w:val="13"/>
        </w:numPr>
      </w:pPr>
      <w:r w:rsidRPr="007756DF">
        <w:t>The net result is accelerated expansion in under-dense regions.</w:t>
      </w:r>
    </w:p>
    <w:p w14:paraId="38059543" w14:textId="77777777" w:rsidR="007756DF" w:rsidRDefault="007756DF" w:rsidP="007756DF">
      <w:r w:rsidRPr="007756DF">
        <w:lastRenderedPageBreak/>
        <w:t xml:space="preserve">Mathematically, this can be expressed as: ä/a </w:t>
      </w:r>
      <w:r w:rsidRPr="007756DF">
        <w:rPr>
          <w:rFonts w:ascii="Cambria Math" w:hAnsi="Cambria Math" w:cs="Cambria Math"/>
        </w:rPr>
        <w:t>∝</w:t>
      </w:r>
      <w:r w:rsidRPr="007756DF">
        <w:t xml:space="preserve"> −⟨</w:t>
      </w:r>
      <w:r w:rsidRPr="007756DF">
        <w:rPr>
          <w:rFonts w:ascii="Cambria Math" w:hAnsi="Cambria Math" w:cs="Cambria Math"/>
        </w:rPr>
        <w:t>∇</w:t>
      </w:r>
      <w:proofErr w:type="spellStart"/>
      <w:r w:rsidRPr="007756DF">
        <w:t>ρSPAC</w:t>
      </w:r>
      <w:proofErr w:type="spellEnd"/>
      <w:r w:rsidRPr="007756DF">
        <w:t>⟩.</w:t>
      </w:r>
    </w:p>
    <w:p w14:paraId="0E371613" w14:textId="77777777" w:rsidR="007756DF" w:rsidRDefault="007756DF" w:rsidP="007756DF">
      <w:pPr>
        <w:pStyle w:val="ListParagraph"/>
        <w:numPr>
          <w:ilvl w:val="0"/>
          <w:numId w:val="14"/>
        </w:numPr>
      </w:pPr>
      <w:r w:rsidRPr="007756DF">
        <w:t>Negative gradient leads to acceleration (interpreted as dark energy).</w:t>
      </w:r>
    </w:p>
    <w:p w14:paraId="30609371" w14:textId="77777777" w:rsidR="007756DF" w:rsidRDefault="007756DF" w:rsidP="007756DF">
      <w:pPr>
        <w:pStyle w:val="ListParagraph"/>
        <w:numPr>
          <w:ilvl w:val="0"/>
          <w:numId w:val="14"/>
        </w:numPr>
      </w:pPr>
      <w:r w:rsidRPr="007756DF">
        <w:t>Positive gradient leads to deceleration (matter-dominated regions).</w:t>
      </w:r>
    </w:p>
    <w:p w14:paraId="56F3DBE1" w14:textId="77777777" w:rsidR="007756DF" w:rsidRDefault="007756DF" w:rsidP="007756DF">
      <w:pPr>
        <w:pStyle w:val="Heading2"/>
      </w:pPr>
      <w:r>
        <w:t>5. Structure Formation</w:t>
      </w:r>
    </w:p>
    <w:p w14:paraId="56C4B7B3" w14:textId="77777777" w:rsidR="007756DF" w:rsidRDefault="007756DF" w:rsidP="007756DF">
      <w:r w:rsidRPr="007756DF">
        <w:t>Galaxies, clusters, and cosmic voids arise as patterns of SPAC clustering:</w:t>
      </w:r>
    </w:p>
    <w:p w14:paraId="6482E4A4" w14:textId="77777777" w:rsidR="007756DF" w:rsidRDefault="007756DF" w:rsidP="007756DF">
      <w:pPr>
        <w:pStyle w:val="ListParagraph"/>
        <w:numPr>
          <w:ilvl w:val="0"/>
          <w:numId w:val="15"/>
        </w:numPr>
      </w:pPr>
      <w:r w:rsidRPr="007756DF">
        <w:t xml:space="preserve">High SPAC density corresponds to </w:t>
      </w:r>
      <w:proofErr w:type="spellStart"/>
      <w:r w:rsidRPr="007756DF">
        <w:t>classicalized</w:t>
      </w:r>
      <w:proofErr w:type="spellEnd"/>
      <w:r w:rsidRPr="007756DF">
        <w:t xml:space="preserve"> matter.</w:t>
      </w:r>
    </w:p>
    <w:p w14:paraId="7ECE28DD" w14:textId="77777777" w:rsidR="007756DF" w:rsidRDefault="007756DF" w:rsidP="007756DF">
      <w:pPr>
        <w:pStyle w:val="ListParagraph"/>
        <w:numPr>
          <w:ilvl w:val="0"/>
          <w:numId w:val="15"/>
        </w:numPr>
      </w:pPr>
      <w:r w:rsidRPr="007756DF">
        <w:t>Low SPAC density corresponds to regions of vacuum expansion.</w:t>
      </w:r>
    </w:p>
    <w:p w14:paraId="5A837BEC" w14:textId="77777777" w:rsidR="007756DF" w:rsidRDefault="007756DF" w:rsidP="007756DF">
      <w:pPr>
        <w:pStyle w:val="ListParagraph"/>
        <w:numPr>
          <w:ilvl w:val="0"/>
          <w:numId w:val="15"/>
        </w:numPr>
      </w:pPr>
      <w:r w:rsidRPr="007756DF">
        <w:t>Dark matter is explained by invisible SPAC halos.</w:t>
      </w:r>
    </w:p>
    <w:p w14:paraId="3827F4D6" w14:textId="77777777" w:rsidR="007756DF" w:rsidRDefault="007756DF" w:rsidP="007756DF">
      <w:pPr>
        <w:pStyle w:val="ListParagraph"/>
        <w:numPr>
          <w:ilvl w:val="0"/>
          <w:numId w:val="15"/>
        </w:numPr>
      </w:pPr>
      <w:r w:rsidRPr="007756DF">
        <w:t>The resulting distribution matches the large-scale structure observed in ΛCDM cosmology, but without introducing new particles.</w:t>
      </w:r>
    </w:p>
    <w:p w14:paraId="786FB475" w14:textId="77777777" w:rsidR="007756DF" w:rsidRDefault="007756DF" w:rsidP="007756DF">
      <w:pPr>
        <w:pStyle w:val="Heading2"/>
      </w:pPr>
      <w:r>
        <w:t>6. Cosmic Microwave Background (CMB)</w:t>
      </w:r>
    </w:p>
    <w:p w14:paraId="5F49DF7B" w14:textId="77777777" w:rsidR="007756DF" w:rsidRDefault="007756DF" w:rsidP="007756DF">
      <w:r w:rsidRPr="007756DF">
        <w:t>Anisotropies in the cosmic microwave background are interpreted as shadows of early SPAC density fluctuations:</w:t>
      </w:r>
    </w:p>
    <w:p w14:paraId="1ED27AED" w14:textId="77777777" w:rsidR="007756DF" w:rsidRDefault="007756DF" w:rsidP="007756DF">
      <w:proofErr w:type="spellStart"/>
      <w:r w:rsidRPr="007756DF">
        <w:t>δT</w:t>
      </w:r>
      <w:proofErr w:type="spellEnd"/>
      <w:r w:rsidRPr="007756DF">
        <w:t xml:space="preserve">/T </w:t>
      </w:r>
      <w:r w:rsidRPr="007756DF">
        <w:rPr>
          <w:rFonts w:ascii="Cambria Math" w:hAnsi="Cambria Math" w:cs="Cambria Math"/>
        </w:rPr>
        <w:t>∼</w:t>
      </w:r>
      <w:r w:rsidRPr="007756DF">
        <w:t xml:space="preserve"> </w:t>
      </w:r>
      <w:proofErr w:type="spellStart"/>
      <w:r w:rsidRPr="007756DF">
        <w:t>δρSPAC</w:t>
      </w:r>
      <w:proofErr w:type="spellEnd"/>
      <w:r w:rsidRPr="007756DF">
        <w:t>/⟨</w:t>
      </w:r>
      <w:proofErr w:type="spellStart"/>
      <w:r w:rsidRPr="007756DF">
        <w:t>ρSPAC</w:t>
      </w:r>
      <w:proofErr w:type="spellEnd"/>
      <w:r w:rsidRPr="007756DF">
        <w:t>⟩</w:t>
      </w:r>
    </w:p>
    <w:p w14:paraId="26D5F944" w14:textId="77777777" w:rsidR="007756DF" w:rsidRDefault="007756DF" w:rsidP="007756DF">
      <w:pPr>
        <w:pStyle w:val="ListParagraph"/>
        <w:numPr>
          <w:ilvl w:val="0"/>
          <w:numId w:val="16"/>
        </w:numPr>
      </w:pPr>
      <w:r w:rsidRPr="007756DF">
        <w:t>Temperature peaks correspond to regions of higher early SPAC registration.</w:t>
      </w:r>
    </w:p>
    <w:p w14:paraId="3005C457" w14:textId="77777777" w:rsidR="007756DF" w:rsidRDefault="007756DF" w:rsidP="007756DF">
      <w:pPr>
        <w:pStyle w:val="ListParagraph"/>
        <w:numPr>
          <w:ilvl w:val="0"/>
          <w:numId w:val="16"/>
        </w:numPr>
      </w:pPr>
      <w:r w:rsidRPr="007756DF">
        <w:t>Polarization encodes patterns of C-axis coherence.</w:t>
      </w:r>
    </w:p>
    <w:p w14:paraId="038CB899" w14:textId="77777777" w:rsidR="007756DF" w:rsidRDefault="007756DF" w:rsidP="007756DF">
      <w:pPr>
        <w:pStyle w:val="Heading2"/>
      </w:pPr>
      <w:r>
        <w:t>7. Big Bang as SPAC Emergence</w:t>
      </w:r>
    </w:p>
    <w:p w14:paraId="049F09EF" w14:textId="77777777" w:rsidR="007756DF" w:rsidRDefault="007756DF" w:rsidP="007756DF">
      <w:pPr>
        <w:pStyle w:val="ListParagraph"/>
        <w:numPr>
          <w:ilvl w:val="0"/>
          <w:numId w:val="17"/>
        </w:numPr>
      </w:pPr>
      <w:r w:rsidRPr="007756DF">
        <w:t>The “singularity” is understood as the first global SPAC registration event.</w:t>
      </w:r>
    </w:p>
    <w:p w14:paraId="78AF94C2" w14:textId="77777777" w:rsidR="007756DF" w:rsidRDefault="007756DF" w:rsidP="007756DF">
      <w:pPr>
        <w:pStyle w:val="ListParagraph"/>
        <w:numPr>
          <w:ilvl w:val="0"/>
          <w:numId w:val="17"/>
        </w:numPr>
      </w:pPr>
      <w:r w:rsidRPr="007756DF">
        <w:t>Initial C-axis coherence allows all possibilities to exist simultaneously.</w:t>
      </w:r>
    </w:p>
    <w:p w14:paraId="4E9B9005" w14:textId="77777777" w:rsidR="007756DF" w:rsidRDefault="007756DF" w:rsidP="007756DF">
      <w:pPr>
        <w:pStyle w:val="ListParagraph"/>
        <w:numPr>
          <w:ilvl w:val="0"/>
          <w:numId w:val="17"/>
        </w:numPr>
      </w:pPr>
      <w:r w:rsidRPr="007756DF">
        <w:t>Classical spacetime emerges gradually as SPAC density increases and C-axis coherence collapses.</w:t>
      </w:r>
    </w:p>
    <w:p w14:paraId="64ADC0CA" w14:textId="77777777" w:rsidR="007756DF" w:rsidRDefault="007756DF" w:rsidP="007756DF">
      <w:pPr>
        <w:pStyle w:val="Heading2"/>
      </w:pPr>
      <w:r>
        <w:t>8. Minimal Cosmology Axioms</w:t>
      </w:r>
    </w:p>
    <w:p w14:paraId="2E0CB9D8" w14:textId="77777777" w:rsidR="007756DF" w:rsidRDefault="007756DF" w:rsidP="007756DF">
      <w:pPr>
        <w:pStyle w:val="ListParagraph"/>
        <w:numPr>
          <w:ilvl w:val="0"/>
          <w:numId w:val="18"/>
        </w:numPr>
      </w:pPr>
      <w:r w:rsidRPr="007756DF">
        <w:t>Axiom C1 (SPAC Cosmology): The universe’s expansion, curvature, and structure emerge from the collective density and distribution of SPACs.</w:t>
      </w:r>
    </w:p>
    <w:p w14:paraId="7992E4E8" w14:textId="77777777" w:rsidR="007756DF" w:rsidRDefault="007756DF" w:rsidP="007756DF">
      <w:pPr>
        <w:pStyle w:val="ListParagraph"/>
        <w:numPr>
          <w:ilvl w:val="0"/>
          <w:numId w:val="18"/>
        </w:numPr>
      </w:pPr>
      <w:r w:rsidRPr="007756DF">
        <w:t>Axiom C2 (SPAC Dark Sector): Dark matter and dark energy correspond to registration patterns of SPACs that are invisible to the Phenomena axis or globally smooth SPAC gradients.</w:t>
      </w:r>
    </w:p>
    <w:p w14:paraId="0E93F1C9" w14:textId="77777777" w:rsidR="007756DF" w:rsidRDefault="007756DF" w:rsidP="007756DF">
      <w:pPr>
        <w:pStyle w:val="Heading2"/>
      </w:pPr>
      <w:r>
        <w:lastRenderedPageBreak/>
        <w:t>9. Summary Statement</w:t>
      </w:r>
    </w:p>
    <w:p w14:paraId="7F0B7744" w14:textId="45A2B8AF" w:rsidR="007756DF" w:rsidRPr="007756DF" w:rsidRDefault="007756DF" w:rsidP="007756DF">
      <w:r w:rsidRPr="007756DF">
        <w:t>Cosmology, in SPAC theory, is the emergent story of SPACs registering, clustering, and expanding, with classical spacetime as a coarse-grained shadow of the underlying C-axis potential.</w:t>
      </w:r>
    </w:p>
    <w:p w14:paraId="1A399E68" w14:textId="77777777" w:rsidR="007756DF" w:rsidRDefault="007756DF" w:rsidP="007756DF">
      <w:pPr>
        <w:pStyle w:val="Title"/>
      </w:pPr>
      <w:r>
        <w:t>Cosmological Framework in SPAC Theory</w:t>
      </w:r>
    </w:p>
    <w:p w14:paraId="1DB78F75" w14:textId="77777777" w:rsidR="007756DF" w:rsidRDefault="007756DF" w:rsidP="007756DF">
      <w:pPr>
        <w:pStyle w:val="Heading1"/>
      </w:pPr>
      <w:r>
        <w:t>Cosmology in SPAC Theory</w:t>
      </w:r>
    </w:p>
    <w:p w14:paraId="05C044FC" w14:textId="77777777" w:rsidR="007756DF" w:rsidRDefault="007756DF" w:rsidP="007756DF">
      <w:r w:rsidRPr="007756DF">
        <w:t>SPAC theory offers a natural cosmological framework, where the expansion of the universe, formation of its structure, and the behavior of the dark sector arise from the dynamics of SPAC registration. Unlike traditional approaches that rely on assumed spacetime fields, SPAC theory grounds cosmological evolution in the collective processes involving SPACs.</w:t>
      </w:r>
    </w:p>
    <w:p w14:paraId="06C084D5" w14:textId="77777777" w:rsidR="007756DF" w:rsidRDefault="007756DF" w:rsidP="007756DF">
      <w:pPr>
        <w:pStyle w:val="Heading2"/>
      </w:pPr>
      <w:r>
        <w:t>1. Core Idea</w:t>
      </w:r>
    </w:p>
    <w:p w14:paraId="2C64734C" w14:textId="77777777" w:rsidR="007756DF" w:rsidRDefault="007756DF" w:rsidP="007756DF">
      <w:r w:rsidRPr="007756DF">
        <w:t>According to SPAC theory, the universe evolves due to the collective registration and distribution of SPACs, rather than through expansion of a pre-existing spacetime. The central concepts include:</w:t>
      </w:r>
    </w:p>
    <w:p w14:paraId="4C6C3559" w14:textId="77777777" w:rsidR="007756DF" w:rsidRDefault="007756DF" w:rsidP="007756DF">
      <w:pPr>
        <w:pStyle w:val="ListParagraph"/>
        <w:numPr>
          <w:ilvl w:val="0"/>
          <w:numId w:val="1"/>
        </w:numPr>
      </w:pPr>
      <w:r w:rsidRPr="007756DF">
        <w:t>SPAC density (</w:t>
      </w:r>
      <w:proofErr w:type="spellStart"/>
      <w:r w:rsidRPr="007756DF">
        <w:t>ρSPAC</w:t>
      </w:r>
      <w:proofErr w:type="spellEnd"/>
      <w:r w:rsidRPr="007756DF">
        <w:t>): Drives gravitational effects.</w:t>
      </w:r>
    </w:p>
    <w:p w14:paraId="2E13884F" w14:textId="77777777" w:rsidR="007756DF" w:rsidRDefault="007756DF" w:rsidP="007756DF">
      <w:pPr>
        <w:pStyle w:val="ListParagraph"/>
        <w:numPr>
          <w:ilvl w:val="0"/>
          <w:numId w:val="1"/>
        </w:numPr>
      </w:pPr>
      <w:r w:rsidRPr="007756DF">
        <w:t>C-axis coherence: Regulates transitions from quantum behavior to classical phenomena.</w:t>
      </w:r>
    </w:p>
    <w:p w14:paraId="655474D4" w14:textId="77777777" w:rsidR="007756DF" w:rsidRDefault="007756DF" w:rsidP="007756DF">
      <w:pPr>
        <w:pStyle w:val="ListParagraph"/>
        <w:numPr>
          <w:ilvl w:val="0"/>
          <w:numId w:val="1"/>
        </w:numPr>
      </w:pPr>
      <w:r w:rsidRPr="007756DF">
        <w:t>Emergent spacetime and energy: Observed spacetime, energy, and expansion are averages arising from SPAC behavior.</w:t>
      </w:r>
    </w:p>
    <w:p w14:paraId="6B9B472F" w14:textId="77777777" w:rsidR="007756DF" w:rsidRDefault="007756DF" w:rsidP="007756DF">
      <w:pPr>
        <w:pStyle w:val="Heading2"/>
      </w:pPr>
      <w:r>
        <w:t>2. The SPAC Cosmological Metric</w:t>
      </w:r>
    </w:p>
    <w:p w14:paraId="294AE123" w14:textId="77777777" w:rsidR="007756DF" w:rsidRDefault="007756DF" w:rsidP="007756DF">
      <w:r w:rsidRPr="007756DF">
        <w:t>This framework describes an emergent homogeneous and isotropic universe, using the metric:</w:t>
      </w:r>
    </w:p>
    <w:p w14:paraId="55ED969C" w14:textId="77777777" w:rsidR="007756DF" w:rsidRDefault="007756DF" w:rsidP="007756DF">
      <w:r w:rsidRPr="007756DF">
        <w:t>ds2 = dt2 − a(t)2 [dr2</w:t>
      </w:r>
      <w:proofErr w:type="gramStart"/>
      <w:r w:rsidRPr="007756DF">
        <w:t>/(</w:t>
      </w:r>
      <w:proofErr w:type="gramEnd"/>
      <w:r w:rsidRPr="007756DF">
        <w:t>1 − kr2) + r2dΩ2]</w:t>
      </w:r>
    </w:p>
    <w:p w14:paraId="30E8A353" w14:textId="77777777" w:rsidR="007756DF" w:rsidRDefault="007756DF" w:rsidP="007756DF">
      <w:pPr>
        <w:pStyle w:val="ListParagraph"/>
        <w:numPr>
          <w:ilvl w:val="0"/>
          <w:numId w:val="2"/>
        </w:numPr>
      </w:pPr>
      <w:r w:rsidRPr="007756DF">
        <w:t>a(t): Effective scale factor, derived from the average SPAC density.</w:t>
      </w:r>
    </w:p>
    <w:p w14:paraId="26496131" w14:textId="77777777" w:rsidR="007756DF" w:rsidRDefault="007756DF" w:rsidP="007756DF">
      <w:pPr>
        <w:pStyle w:val="ListParagraph"/>
        <w:numPr>
          <w:ilvl w:val="0"/>
          <w:numId w:val="2"/>
        </w:numPr>
      </w:pPr>
      <w:r w:rsidRPr="007756DF">
        <w:t>k: Curvature parameter, emerging from gradients in SPAC distribution, which may be positive, zero, or negative.</w:t>
      </w:r>
    </w:p>
    <w:p w14:paraId="4805E9DE" w14:textId="77777777" w:rsidR="007756DF" w:rsidRDefault="007756DF" w:rsidP="007756DF">
      <w:pPr>
        <w:pStyle w:val="ListParagraph"/>
        <w:numPr>
          <w:ilvl w:val="0"/>
          <w:numId w:val="2"/>
        </w:numPr>
      </w:pPr>
      <w:r w:rsidRPr="007756DF">
        <w:t>t: Emergent local T-axis, averaged across SPACs.</w:t>
      </w:r>
    </w:p>
    <w:p w14:paraId="7DB6D284" w14:textId="77777777" w:rsidR="007756DF" w:rsidRDefault="007756DF" w:rsidP="007756DF">
      <w:pPr>
        <w:pStyle w:val="Heading2"/>
      </w:pPr>
      <w:r>
        <w:t>3. Friedmann Equations as SPAC Limits</w:t>
      </w:r>
    </w:p>
    <w:p w14:paraId="633E435A" w14:textId="77777777" w:rsidR="007756DF" w:rsidRDefault="007756DF" w:rsidP="007756DF">
      <w:r w:rsidRPr="007756DF">
        <w:t>The Friedmann equations arise naturally from SPAC registration density:</w:t>
      </w:r>
    </w:p>
    <w:p w14:paraId="04F6AEE5" w14:textId="77777777" w:rsidR="007756DF" w:rsidRDefault="007756DF" w:rsidP="007756DF">
      <w:r w:rsidRPr="007756DF">
        <w:lastRenderedPageBreak/>
        <w:t>(ȧ/a)2 = (8πG/</w:t>
      </w:r>
      <w:proofErr w:type="gramStart"/>
      <w:r w:rsidRPr="007756DF">
        <w:t>3)⟨</w:t>
      </w:r>
      <w:proofErr w:type="spellStart"/>
      <w:proofErr w:type="gramEnd"/>
      <w:r w:rsidRPr="007756DF">
        <w:t>ρSPAC</w:t>
      </w:r>
      <w:proofErr w:type="spellEnd"/>
      <w:r w:rsidRPr="007756DF">
        <w:t>⟩ − k/a2 + ΛSPAC/3</w:t>
      </w:r>
    </w:p>
    <w:p w14:paraId="7E00A972" w14:textId="77777777" w:rsidR="007756DF" w:rsidRDefault="007756DF" w:rsidP="007756DF">
      <w:pPr>
        <w:pStyle w:val="ListParagraph"/>
        <w:numPr>
          <w:ilvl w:val="0"/>
          <w:numId w:val="3"/>
        </w:numPr>
      </w:pPr>
      <w:r w:rsidRPr="007756DF">
        <w:t>⟨</w:t>
      </w:r>
      <w:proofErr w:type="spellStart"/>
      <w:r w:rsidRPr="007756DF">
        <w:t>ρSPAC</w:t>
      </w:r>
      <w:proofErr w:type="spellEnd"/>
      <w:r w:rsidRPr="007756DF">
        <w:t>⟩: Mean SPAC density in the classical limit.</w:t>
      </w:r>
    </w:p>
    <w:p w14:paraId="23C847AF" w14:textId="77777777" w:rsidR="007756DF" w:rsidRDefault="007756DF" w:rsidP="007756DF">
      <w:pPr>
        <w:pStyle w:val="ListParagraph"/>
        <w:numPr>
          <w:ilvl w:val="0"/>
          <w:numId w:val="3"/>
        </w:numPr>
      </w:pPr>
      <w:r w:rsidRPr="007756DF">
        <w:t>ΛSPAC: Global baseline registration, representing dark energy.</w:t>
      </w:r>
    </w:p>
    <w:p w14:paraId="68A04241" w14:textId="77777777" w:rsidR="007756DF" w:rsidRDefault="007756DF" w:rsidP="007756DF">
      <w:pPr>
        <w:pStyle w:val="ListParagraph"/>
        <w:numPr>
          <w:ilvl w:val="0"/>
          <w:numId w:val="3"/>
        </w:numPr>
      </w:pPr>
      <w:r w:rsidRPr="007756DF">
        <w:t>k: Arises from inhomogeneous SPAC distribution.</w:t>
      </w:r>
    </w:p>
    <w:p w14:paraId="08C16CA3" w14:textId="77777777" w:rsidR="007756DF" w:rsidRDefault="007756DF" w:rsidP="007756DF">
      <w:r w:rsidRPr="007756DF">
        <w:t>Thus, classical Friedmann cosmology is a natural outcome of collective SPAC dynamics.</w:t>
      </w:r>
    </w:p>
    <w:p w14:paraId="1F4FDDDD" w14:textId="77777777" w:rsidR="007756DF" w:rsidRDefault="007756DF" w:rsidP="007756DF">
      <w:pPr>
        <w:pStyle w:val="Heading2"/>
      </w:pPr>
      <w:r>
        <w:t>4. Cosmic Expansion Mechanism</w:t>
      </w:r>
    </w:p>
    <w:p w14:paraId="447F93FD" w14:textId="77777777" w:rsidR="007756DF" w:rsidRDefault="007756DF" w:rsidP="007756DF">
      <w:r w:rsidRPr="007756DF">
        <w:t>SPAC expansion is explained as follows:</w:t>
      </w:r>
    </w:p>
    <w:p w14:paraId="07FBFA58" w14:textId="77777777" w:rsidR="007756DF" w:rsidRDefault="007756DF" w:rsidP="007756DF">
      <w:pPr>
        <w:pStyle w:val="ListParagraph"/>
        <w:numPr>
          <w:ilvl w:val="0"/>
          <w:numId w:val="4"/>
        </w:numPr>
      </w:pPr>
      <w:r w:rsidRPr="007756DF">
        <w:t>Low-density regions allow C-axis freedom to expand.</w:t>
      </w:r>
    </w:p>
    <w:p w14:paraId="37106E04" w14:textId="77777777" w:rsidR="007756DF" w:rsidRDefault="007756DF" w:rsidP="007756DF">
      <w:pPr>
        <w:pStyle w:val="ListParagraph"/>
        <w:numPr>
          <w:ilvl w:val="0"/>
          <w:numId w:val="4"/>
        </w:numPr>
      </w:pPr>
      <w:r w:rsidRPr="007756DF">
        <w:t>High-density regions resist further SPAC registration.</w:t>
      </w:r>
    </w:p>
    <w:p w14:paraId="6B7CCFE4" w14:textId="77777777" w:rsidR="007756DF" w:rsidRDefault="007756DF" w:rsidP="007756DF">
      <w:pPr>
        <w:pStyle w:val="ListParagraph"/>
        <w:numPr>
          <w:ilvl w:val="0"/>
          <w:numId w:val="4"/>
        </w:numPr>
      </w:pPr>
      <w:r w:rsidRPr="007756DF">
        <w:t>The net result is accelerated expansion in under-dense regions.</w:t>
      </w:r>
    </w:p>
    <w:p w14:paraId="2A1D590F" w14:textId="77777777" w:rsidR="007756DF" w:rsidRDefault="007756DF" w:rsidP="007756DF">
      <w:r w:rsidRPr="007756DF">
        <w:t>Mathematically, this is expressed as:</w:t>
      </w:r>
    </w:p>
    <w:p w14:paraId="1E208033" w14:textId="77777777" w:rsidR="007756DF" w:rsidRDefault="007756DF" w:rsidP="007756DF">
      <w:r w:rsidRPr="007756DF">
        <w:t xml:space="preserve">(ä/a) </w:t>
      </w:r>
      <w:r w:rsidRPr="007756DF">
        <w:rPr>
          <w:rFonts w:ascii="Cambria Math" w:hAnsi="Cambria Math" w:cs="Cambria Math"/>
        </w:rPr>
        <w:t>∝</w:t>
      </w:r>
      <w:r w:rsidRPr="007756DF">
        <w:t xml:space="preserve"> −⟨</w:t>
      </w:r>
      <w:r w:rsidRPr="007756DF">
        <w:rPr>
          <w:rFonts w:ascii="Cambria Math" w:hAnsi="Cambria Math" w:cs="Cambria Math"/>
        </w:rPr>
        <w:t>∇</w:t>
      </w:r>
      <w:proofErr w:type="spellStart"/>
      <w:r w:rsidRPr="007756DF">
        <w:t>ρSPAC</w:t>
      </w:r>
      <w:proofErr w:type="spellEnd"/>
      <w:r w:rsidRPr="007756DF">
        <w:t>⟩</w:t>
      </w:r>
    </w:p>
    <w:p w14:paraId="5C791885" w14:textId="77777777" w:rsidR="007756DF" w:rsidRDefault="007756DF" w:rsidP="007756DF">
      <w:pPr>
        <w:pStyle w:val="ListParagraph"/>
        <w:numPr>
          <w:ilvl w:val="0"/>
          <w:numId w:val="5"/>
        </w:numPr>
      </w:pPr>
      <w:r w:rsidRPr="007756DF">
        <w:t>Negative gradients correspond to acceleration (dark energy).</w:t>
      </w:r>
    </w:p>
    <w:p w14:paraId="5B4C51E7" w14:textId="77777777" w:rsidR="007756DF" w:rsidRDefault="007756DF" w:rsidP="007756DF">
      <w:pPr>
        <w:pStyle w:val="ListParagraph"/>
        <w:numPr>
          <w:ilvl w:val="0"/>
          <w:numId w:val="5"/>
        </w:numPr>
      </w:pPr>
      <w:r w:rsidRPr="007756DF">
        <w:t>Positive gradients lead to deceleration (in matter-dominated regions).</w:t>
      </w:r>
    </w:p>
    <w:p w14:paraId="7BF6F5F5" w14:textId="77777777" w:rsidR="007756DF" w:rsidRDefault="007756DF" w:rsidP="007756DF">
      <w:pPr>
        <w:pStyle w:val="Heading2"/>
      </w:pPr>
      <w:r>
        <w:t>5. Structure Formation</w:t>
      </w:r>
    </w:p>
    <w:p w14:paraId="2EEC6402" w14:textId="77777777" w:rsidR="007756DF" w:rsidRDefault="007756DF" w:rsidP="007756DF">
      <w:r w:rsidRPr="007756DF">
        <w:t>The formation of galaxies, clusters, and voids is understood as follows:</w:t>
      </w:r>
    </w:p>
    <w:p w14:paraId="36100A52" w14:textId="77777777" w:rsidR="007756DF" w:rsidRDefault="007756DF" w:rsidP="007756DF">
      <w:pPr>
        <w:pStyle w:val="ListParagraph"/>
        <w:numPr>
          <w:ilvl w:val="0"/>
          <w:numId w:val="6"/>
        </w:numPr>
      </w:pPr>
      <w:r w:rsidRPr="007756DF">
        <w:t xml:space="preserve">High SPAC density leads to </w:t>
      </w:r>
      <w:proofErr w:type="spellStart"/>
      <w:r w:rsidRPr="007756DF">
        <w:t>classicalized</w:t>
      </w:r>
      <w:proofErr w:type="spellEnd"/>
      <w:r w:rsidRPr="007756DF">
        <w:t xml:space="preserve"> matter.</w:t>
      </w:r>
    </w:p>
    <w:p w14:paraId="52E850AF" w14:textId="77777777" w:rsidR="007756DF" w:rsidRDefault="007756DF" w:rsidP="007756DF">
      <w:pPr>
        <w:pStyle w:val="ListParagraph"/>
        <w:numPr>
          <w:ilvl w:val="0"/>
          <w:numId w:val="6"/>
        </w:numPr>
      </w:pPr>
      <w:r w:rsidRPr="007756DF">
        <w:t>Low SPAC density supports vacuum expansion.</w:t>
      </w:r>
    </w:p>
    <w:p w14:paraId="61AA019B" w14:textId="77777777" w:rsidR="007756DF" w:rsidRDefault="007756DF" w:rsidP="007756DF">
      <w:pPr>
        <w:pStyle w:val="ListParagraph"/>
        <w:numPr>
          <w:ilvl w:val="0"/>
          <w:numId w:val="6"/>
        </w:numPr>
      </w:pPr>
      <w:r w:rsidRPr="007756DF">
        <w:t>Dark matter is interpreted as invisible SPAC halos.</w:t>
      </w:r>
    </w:p>
    <w:p w14:paraId="23010A7F" w14:textId="77777777" w:rsidR="007756DF" w:rsidRDefault="007756DF" w:rsidP="007756DF">
      <w:r w:rsidRPr="007756DF">
        <w:t>This distribution matches the large-scale structure predicted by the ΛCDM model, without the need for new particles.</w:t>
      </w:r>
    </w:p>
    <w:p w14:paraId="4269D290" w14:textId="77777777" w:rsidR="007756DF" w:rsidRDefault="007756DF" w:rsidP="007756DF">
      <w:pPr>
        <w:pStyle w:val="Heading2"/>
      </w:pPr>
      <w:r>
        <w:t>6. Cosmic Microwave Background (CMB)</w:t>
      </w:r>
    </w:p>
    <w:p w14:paraId="3C7B1D46" w14:textId="77777777" w:rsidR="007756DF" w:rsidRDefault="007756DF" w:rsidP="007756DF">
      <w:r w:rsidRPr="007756DF">
        <w:t>CMB anisotropies are seen as shadows of early SPAC density fluctuations:</w:t>
      </w:r>
    </w:p>
    <w:p w14:paraId="7FC57F0D" w14:textId="77777777" w:rsidR="007756DF" w:rsidRDefault="007756DF" w:rsidP="007756DF">
      <w:proofErr w:type="spellStart"/>
      <w:r w:rsidRPr="007756DF">
        <w:t>δT</w:t>
      </w:r>
      <w:proofErr w:type="spellEnd"/>
      <w:r w:rsidRPr="007756DF">
        <w:t xml:space="preserve">/T </w:t>
      </w:r>
      <w:r w:rsidRPr="007756DF">
        <w:rPr>
          <w:rFonts w:ascii="Cambria Math" w:hAnsi="Cambria Math" w:cs="Cambria Math"/>
        </w:rPr>
        <w:t>∼</w:t>
      </w:r>
      <w:r w:rsidRPr="007756DF">
        <w:t xml:space="preserve"> </w:t>
      </w:r>
      <w:proofErr w:type="spellStart"/>
      <w:r w:rsidRPr="007756DF">
        <w:t>δρSPAC</w:t>
      </w:r>
      <w:proofErr w:type="spellEnd"/>
      <w:r w:rsidRPr="007756DF">
        <w:t xml:space="preserve"> / ⟨</w:t>
      </w:r>
      <w:proofErr w:type="spellStart"/>
      <w:r w:rsidRPr="007756DF">
        <w:t>ρSPAC</w:t>
      </w:r>
      <w:proofErr w:type="spellEnd"/>
      <w:r w:rsidRPr="007756DF">
        <w:t>⟩</w:t>
      </w:r>
    </w:p>
    <w:p w14:paraId="57CE645E" w14:textId="77777777" w:rsidR="007756DF" w:rsidRDefault="007756DF" w:rsidP="007756DF">
      <w:pPr>
        <w:pStyle w:val="ListParagraph"/>
        <w:numPr>
          <w:ilvl w:val="0"/>
          <w:numId w:val="7"/>
        </w:numPr>
      </w:pPr>
      <w:r w:rsidRPr="007756DF">
        <w:t>Temperature peaks indicate regions with higher early SPAC registration.</w:t>
      </w:r>
    </w:p>
    <w:p w14:paraId="1AE8059B" w14:textId="77777777" w:rsidR="007756DF" w:rsidRDefault="007756DF" w:rsidP="007756DF">
      <w:pPr>
        <w:pStyle w:val="ListParagraph"/>
        <w:numPr>
          <w:ilvl w:val="0"/>
          <w:numId w:val="7"/>
        </w:numPr>
      </w:pPr>
      <w:r w:rsidRPr="007756DF">
        <w:t>Polarization patterns encode C-axis coherence.</w:t>
      </w:r>
    </w:p>
    <w:p w14:paraId="630A5B42" w14:textId="77777777" w:rsidR="007756DF" w:rsidRDefault="007756DF" w:rsidP="007756DF">
      <w:pPr>
        <w:pStyle w:val="Heading2"/>
      </w:pPr>
      <w:r>
        <w:t>7. Big Bang as SPAC Emergence</w:t>
      </w:r>
    </w:p>
    <w:p w14:paraId="7DC92549" w14:textId="77777777" w:rsidR="007756DF" w:rsidRDefault="007756DF" w:rsidP="007756DF">
      <w:pPr>
        <w:pStyle w:val="ListParagraph"/>
        <w:numPr>
          <w:ilvl w:val="0"/>
          <w:numId w:val="8"/>
        </w:numPr>
      </w:pPr>
      <w:r w:rsidRPr="007756DF">
        <w:t>The Big Bang “singularity” is viewed as the first global SPAC registration event.</w:t>
      </w:r>
    </w:p>
    <w:p w14:paraId="2E33D9C9" w14:textId="77777777" w:rsidR="007756DF" w:rsidRDefault="007756DF" w:rsidP="007756DF">
      <w:pPr>
        <w:pStyle w:val="ListParagraph"/>
        <w:numPr>
          <w:ilvl w:val="0"/>
          <w:numId w:val="8"/>
        </w:numPr>
      </w:pPr>
      <w:r w:rsidRPr="007756DF">
        <w:lastRenderedPageBreak/>
        <w:t>Initial C-axis coherence allows all possibilities to exist at once.</w:t>
      </w:r>
    </w:p>
    <w:p w14:paraId="15024EEB" w14:textId="77777777" w:rsidR="007756DF" w:rsidRDefault="007756DF" w:rsidP="007756DF">
      <w:pPr>
        <w:pStyle w:val="ListParagraph"/>
        <w:numPr>
          <w:ilvl w:val="0"/>
          <w:numId w:val="8"/>
        </w:numPr>
      </w:pPr>
      <w:r w:rsidRPr="007756DF">
        <w:t>Classical spacetime gradually emerges as SPAC density increases and C-axis coherence collapses.</w:t>
      </w:r>
    </w:p>
    <w:p w14:paraId="31FC7606" w14:textId="77777777" w:rsidR="007756DF" w:rsidRDefault="007756DF" w:rsidP="007756DF">
      <w:pPr>
        <w:pStyle w:val="Heading2"/>
      </w:pPr>
      <w:r>
        <w:t>8. Minimal Cosmology Axioms</w:t>
      </w:r>
    </w:p>
    <w:p w14:paraId="5DB6BE63" w14:textId="77777777" w:rsidR="007756DF" w:rsidRDefault="007756DF" w:rsidP="007756DF">
      <w:pPr>
        <w:pStyle w:val="ListParagraph"/>
        <w:numPr>
          <w:ilvl w:val="0"/>
          <w:numId w:val="9"/>
        </w:numPr>
      </w:pPr>
      <w:r w:rsidRPr="007756DF">
        <w:t>Axiom C1 (SPAC Cosmology): The universe’s expansion, curvature, and structure result from the collective density and distribution of SPACs.</w:t>
      </w:r>
    </w:p>
    <w:p w14:paraId="2D9B2194" w14:textId="77777777" w:rsidR="007756DF" w:rsidRDefault="007756DF" w:rsidP="007756DF">
      <w:pPr>
        <w:pStyle w:val="ListParagraph"/>
        <w:numPr>
          <w:ilvl w:val="0"/>
          <w:numId w:val="9"/>
        </w:numPr>
      </w:pPr>
      <w:r w:rsidRPr="007756DF">
        <w:t>Axiom C2 (SPAC Dark Sector): Dark matter and dark energy correspond to registration patterns of SPACs that are invisible to the Phenomena axis or that smooth out global SPAC gradients.</w:t>
      </w:r>
    </w:p>
    <w:p w14:paraId="0468B794" w14:textId="77777777" w:rsidR="007756DF" w:rsidRDefault="007756DF" w:rsidP="007756DF">
      <w:pPr>
        <w:pStyle w:val="Heading2"/>
      </w:pPr>
      <w:r>
        <w:t>9. Summary</w:t>
      </w:r>
    </w:p>
    <w:p w14:paraId="1231FFB0" w14:textId="0CE9E7A7" w:rsidR="0044740E" w:rsidRPr="007756DF" w:rsidRDefault="007756DF" w:rsidP="007756DF">
      <w:r w:rsidRPr="007756DF">
        <w:t>Cosmology, in SPAC theory, is the emergent narrative of SPACs registering, clustering, and expanding—where classical spacetime is a coarse-grained shadow of underlying C-axis potential.</w:t>
      </w:r>
    </w:p>
    <w:sectPr w:rsidR="0044740E" w:rsidRPr="00775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0B5"/>
    <w:multiLevelType w:val="hybridMultilevel"/>
    <w:tmpl w:val="BBA68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923AA"/>
    <w:multiLevelType w:val="hybridMultilevel"/>
    <w:tmpl w:val="D50E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82B7D"/>
    <w:multiLevelType w:val="multilevel"/>
    <w:tmpl w:val="50ECD47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ABF60FB"/>
    <w:multiLevelType w:val="hybridMultilevel"/>
    <w:tmpl w:val="B65C6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A2019"/>
    <w:multiLevelType w:val="multilevel"/>
    <w:tmpl w:val="4DC01F3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1F68069F"/>
    <w:multiLevelType w:val="hybridMultilevel"/>
    <w:tmpl w:val="77F6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EC3769"/>
    <w:multiLevelType w:val="hybridMultilevel"/>
    <w:tmpl w:val="03A2B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C1754"/>
    <w:multiLevelType w:val="hybridMultilevel"/>
    <w:tmpl w:val="3EE8A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9D0D39"/>
    <w:multiLevelType w:val="hybridMultilevel"/>
    <w:tmpl w:val="D73C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8F4CFD"/>
    <w:multiLevelType w:val="hybridMultilevel"/>
    <w:tmpl w:val="B928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F80349"/>
    <w:multiLevelType w:val="hybridMultilevel"/>
    <w:tmpl w:val="7A5EE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190CCB"/>
    <w:multiLevelType w:val="hybridMultilevel"/>
    <w:tmpl w:val="07464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995302"/>
    <w:multiLevelType w:val="hybridMultilevel"/>
    <w:tmpl w:val="8A103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C94909"/>
    <w:multiLevelType w:val="hybridMultilevel"/>
    <w:tmpl w:val="4F80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EE5BF7"/>
    <w:multiLevelType w:val="hybridMultilevel"/>
    <w:tmpl w:val="B6F69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BB5BA6"/>
    <w:multiLevelType w:val="hybridMultilevel"/>
    <w:tmpl w:val="67FC9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507844"/>
    <w:multiLevelType w:val="hybridMultilevel"/>
    <w:tmpl w:val="5BBCB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8861D9"/>
    <w:multiLevelType w:val="hybridMultilevel"/>
    <w:tmpl w:val="3FFE7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4947409">
    <w:abstractNumId w:val="7"/>
  </w:num>
  <w:num w:numId="2" w16cid:durableId="1506245114">
    <w:abstractNumId w:val="10"/>
  </w:num>
  <w:num w:numId="3" w16cid:durableId="1089353761">
    <w:abstractNumId w:val="1"/>
  </w:num>
  <w:num w:numId="4" w16cid:durableId="1090664798">
    <w:abstractNumId w:val="2"/>
  </w:num>
  <w:num w:numId="5" w16cid:durableId="631904452">
    <w:abstractNumId w:val="11"/>
  </w:num>
  <w:num w:numId="6" w16cid:durableId="986276996">
    <w:abstractNumId w:val="14"/>
  </w:num>
  <w:num w:numId="7" w16cid:durableId="1096175205">
    <w:abstractNumId w:val="12"/>
  </w:num>
  <w:num w:numId="8" w16cid:durableId="1868907644">
    <w:abstractNumId w:val="0"/>
  </w:num>
  <w:num w:numId="9" w16cid:durableId="1886142205">
    <w:abstractNumId w:val="6"/>
  </w:num>
  <w:num w:numId="10" w16cid:durableId="1712261097">
    <w:abstractNumId w:val="8"/>
  </w:num>
  <w:num w:numId="11" w16cid:durableId="1277329319">
    <w:abstractNumId w:val="17"/>
  </w:num>
  <w:num w:numId="12" w16cid:durableId="1378777879">
    <w:abstractNumId w:val="16"/>
  </w:num>
  <w:num w:numId="13" w16cid:durableId="1586955264">
    <w:abstractNumId w:val="4"/>
  </w:num>
  <w:num w:numId="14" w16cid:durableId="897789564">
    <w:abstractNumId w:val="3"/>
  </w:num>
  <w:num w:numId="15" w16cid:durableId="1737437742">
    <w:abstractNumId w:val="9"/>
  </w:num>
  <w:num w:numId="16" w16cid:durableId="837498322">
    <w:abstractNumId w:val="15"/>
  </w:num>
  <w:num w:numId="17" w16cid:durableId="2061318748">
    <w:abstractNumId w:val="5"/>
  </w:num>
  <w:num w:numId="18" w16cid:durableId="15930099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0E"/>
    <w:rsid w:val="00372830"/>
    <w:rsid w:val="0044740E"/>
    <w:rsid w:val="007756DF"/>
    <w:rsid w:val="00975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1AF22"/>
  <w15:chartTrackingRefBased/>
  <w15:docId w15:val="{6D6F5FD0-EFF5-4DC5-84B8-8F1DFA289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7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7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40E"/>
    <w:rPr>
      <w:rFonts w:eastAsiaTheme="majorEastAsia" w:cstheme="majorBidi"/>
      <w:color w:val="272727" w:themeColor="text1" w:themeTint="D8"/>
    </w:rPr>
  </w:style>
  <w:style w:type="paragraph" w:styleId="Title">
    <w:name w:val="Title"/>
    <w:basedOn w:val="Normal"/>
    <w:next w:val="Normal"/>
    <w:link w:val="TitleChar"/>
    <w:uiPriority w:val="10"/>
    <w:qFormat/>
    <w:rsid w:val="00447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40E"/>
    <w:pPr>
      <w:spacing w:before="160"/>
      <w:jc w:val="center"/>
    </w:pPr>
    <w:rPr>
      <w:i/>
      <w:iCs/>
      <w:color w:val="404040" w:themeColor="text1" w:themeTint="BF"/>
    </w:rPr>
  </w:style>
  <w:style w:type="character" w:customStyle="1" w:styleId="QuoteChar">
    <w:name w:val="Quote Char"/>
    <w:basedOn w:val="DefaultParagraphFont"/>
    <w:link w:val="Quote"/>
    <w:uiPriority w:val="29"/>
    <w:rsid w:val="0044740E"/>
    <w:rPr>
      <w:i/>
      <w:iCs/>
      <w:color w:val="404040" w:themeColor="text1" w:themeTint="BF"/>
    </w:rPr>
  </w:style>
  <w:style w:type="paragraph" w:styleId="ListParagraph">
    <w:name w:val="List Paragraph"/>
    <w:basedOn w:val="Normal"/>
    <w:uiPriority w:val="34"/>
    <w:qFormat/>
    <w:rsid w:val="0044740E"/>
    <w:pPr>
      <w:ind w:left="720"/>
      <w:contextualSpacing/>
    </w:pPr>
  </w:style>
  <w:style w:type="character" w:styleId="IntenseEmphasis">
    <w:name w:val="Intense Emphasis"/>
    <w:basedOn w:val="DefaultParagraphFont"/>
    <w:uiPriority w:val="21"/>
    <w:qFormat/>
    <w:rsid w:val="0044740E"/>
    <w:rPr>
      <w:i/>
      <w:iCs/>
      <w:color w:val="0F4761" w:themeColor="accent1" w:themeShade="BF"/>
    </w:rPr>
  </w:style>
  <w:style w:type="paragraph" w:styleId="IntenseQuote">
    <w:name w:val="Intense Quote"/>
    <w:basedOn w:val="Normal"/>
    <w:next w:val="Normal"/>
    <w:link w:val="IntenseQuoteChar"/>
    <w:uiPriority w:val="30"/>
    <w:qFormat/>
    <w:rsid w:val="00447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40E"/>
    <w:rPr>
      <w:i/>
      <w:iCs/>
      <w:color w:val="0F4761" w:themeColor="accent1" w:themeShade="BF"/>
    </w:rPr>
  </w:style>
  <w:style w:type="character" w:styleId="IntenseReference">
    <w:name w:val="Intense Reference"/>
    <w:basedOn w:val="DefaultParagraphFont"/>
    <w:uiPriority w:val="32"/>
    <w:qFormat/>
    <w:rsid w:val="004474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1250</Words>
  <Characters>6175</Characters>
  <Application>Microsoft Office Word</Application>
  <DocSecurity>0</DocSecurity>
  <Lines>561</Lines>
  <Paragraphs>3</Paragraphs>
  <ScaleCrop>false</ScaleCrop>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2</cp:revision>
  <dcterms:created xsi:type="dcterms:W3CDTF">2026-01-03T21:53:00Z</dcterms:created>
  <dcterms:modified xsi:type="dcterms:W3CDTF">2026-01-03T21:53:00Z</dcterms:modified>
</cp:coreProperties>
</file>