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EBC92" w14:textId="77777777" w:rsidR="00F52C7B" w:rsidRDefault="00F52C7B" w:rsidP="00F52C7B">
      <w:pPr>
        <w:pStyle w:val="Title"/>
      </w:pPr>
      <w:r>
        <w:t>SPAC Theory and Gravity: A Structured Overview</w:t>
      </w:r>
    </w:p>
    <w:p w14:paraId="6D726973" w14:textId="77777777" w:rsidR="00F52C7B" w:rsidRDefault="00F52C7B" w:rsidP="00F52C7B">
      <w:pPr>
        <w:pStyle w:val="Heading1"/>
      </w:pPr>
      <w:r>
        <w:t>SPAC Theory and the Nature of Gravity</w:t>
      </w:r>
    </w:p>
    <w:p w14:paraId="478941F6" w14:textId="77777777" w:rsidR="00F52C7B" w:rsidRDefault="00F52C7B" w:rsidP="00F52C7B">
      <w:r w:rsidRPr="00F52C7B">
        <w:t>In SPAC theory, gravity is reconsidered not as a fundamental force but as an emergent geometric phenomenon. This effect arises from the variations in SPAC registration density and C-axis accessibility, providing a conceptual bridge between general relativity (GR) and quantum mechanics.</w:t>
      </w:r>
    </w:p>
    <w:p w14:paraId="7144D7A7" w14:textId="77777777" w:rsidR="00F52C7B" w:rsidRDefault="00F52C7B" w:rsidP="00F52C7B">
      <w:pPr>
        <w:pStyle w:val="Heading2"/>
      </w:pPr>
      <w:r>
        <w:t>1. Core Claim: Curvature of SPAC Registration Density</w:t>
      </w:r>
    </w:p>
    <w:p w14:paraId="3450B44A" w14:textId="77777777" w:rsidR="00F52C7B" w:rsidRDefault="00F52C7B" w:rsidP="00F52C7B">
      <w:r w:rsidRPr="00F52C7B">
        <w:t>Gravity, according to SPAC theory, is the result of the curvature in SPAC registration density rather than the curvature of spacetime itself. The macroscopic curvature described by general relativity is viewed as a shadow of deeper phenomena: specifically, the clustering, synchronization, and suppression of C-axis freedom among SPACs.</w:t>
      </w:r>
    </w:p>
    <w:p w14:paraId="66705FD4" w14:textId="77777777" w:rsidR="00F52C7B" w:rsidRDefault="00F52C7B" w:rsidP="00F52C7B">
      <w:pPr>
        <w:pStyle w:val="Heading2"/>
      </w:pPr>
      <w:r>
        <w:t>2. The SPAC Density Field</w:t>
      </w:r>
    </w:p>
    <w:p w14:paraId="6CBEDB9A" w14:textId="77777777" w:rsidR="00F52C7B" w:rsidRDefault="00F52C7B" w:rsidP="00F52C7B">
      <w:r w:rsidRPr="00F52C7B">
        <w:t>SPAC theory introduces a scalar field representing registration density:</w:t>
      </w:r>
    </w:p>
    <w:p w14:paraId="227F170D" w14:textId="77777777" w:rsidR="00F52C7B" w:rsidRDefault="00F52C7B" w:rsidP="00F52C7B">
      <w:proofErr w:type="spellStart"/>
      <w:r w:rsidRPr="00F52C7B">
        <w:t>ρSPAC</w:t>
      </w:r>
      <w:proofErr w:type="spellEnd"/>
      <w:r w:rsidRPr="00F52C7B">
        <w:t xml:space="preserve">(x) = </w:t>
      </w:r>
      <w:proofErr w:type="spellStart"/>
      <w:r w:rsidRPr="00F52C7B">
        <w:t>dNS</w:t>
      </w:r>
      <w:proofErr w:type="spellEnd"/>
      <w:r w:rsidRPr="00F52C7B">
        <w:t xml:space="preserve"> / </w:t>
      </w:r>
      <w:proofErr w:type="spellStart"/>
      <w:r w:rsidRPr="00F52C7B">
        <w:t>dV</w:t>
      </w:r>
      <w:proofErr w:type="spellEnd"/>
    </w:p>
    <w:p w14:paraId="32B0B9D7" w14:textId="77777777" w:rsidR="00F52C7B" w:rsidRDefault="00F52C7B" w:rsidP="00F52C7B">
      <w:pPr>
        <w:pStyle w:val="ListParagraph"/>
        <w:numPr>
          <w:ilvl w:val="0"/>
          <w:numId w:val="1"/>
        </w:numPr>
      </w:pPr>
      <w:r w:rsidRPr="00F52C7B">
        <w:t>NS: Number of active SPAC registers</w:t>
      </w:r>
    </w:p>
    <w:p w14:paraId="5AE09E60" w14:textId="77777777" w:rsidR="00F52C7B" w:rsidRDefault="00F52C7B" w:rsidP="00F52C7B">
      <w:pPr>
        <w:pStyle w:val="ListParagraph"/>
        <w:numPr>
          <w:ilvl w:val="0"/>
          <w:numId w:val="1"/>
        </w:numPr>
      </w:pPr>
      <w:proofErr w:type="spellStart"/>
      <w:r w:rsidRPr="00F52C7B">
        <w:t>dV</w:t>
      </w:r>
      <w:proofErr w:type="spellEnd"/>
      <w:r w:rsidRPr="00F52C7B">
        <w:t>: Classical spatial volume (emergent)</w:t>
      </w:r>
    </w:p>
    <w:p w14:paraId="7F10CAE8" w14:textId="77777777" w:rsidR="00F52C7B" w:rsidRDefault="00F52C7B" w:rsidP="00F52C7B">
      <w:r w:rsidRPr="00F52C7B">
        <w:t>Mass–energy increases SPAC density by driving rapid and repeated registration events.</w:t>
      </w:r>
    </w:p>
    <w:p w14:paraId="1C65890E" w14:textId="77777777" w:rsidR="00F52C7B" w:rsidRDefault="00F52C7B" w:rsidP="00F52C7B">
      <w:pPr>
        <w:pStyle w:val="Heading2"/>
      </w:pPr>
      <w:r>
        <w:t>3. The Role of Mass in Curving Reality</w:t>
      </w:r>
    </w:p>
    <w:p w14:paraId="2AF86A47" w14:textId="77777777" w:rsidR="00F52C7B" w:rsidRDefault="00F52C7B" w:rsidP="00F52C7B">
      <w:r w:rsidRPr="00F52C7B">
        <w:t>Massive objects continuously register phenomena, strongly suppress nearby C-axis states, and force neighboring SPACs to synchronize. This process results in a gradient in SPAC density (</w:t>
      </w:r>
      <w:r w:rsidRPr="00F52C7B">
        <w:rPr>
          <w:rFonts w:ascii="Cambria Math" w:hAnsi="Cambria Math" w:cs="Cambria Math"/>
        </w:rPr>
        <w:t>∇</w:t>
      </w:r>
      <w:proofErr w:type="spellStart"/>
      <w:r w:rsidRPr="00F52C7B">
        <w:t>ρSPAC</w:t>
      </w:r>
      <w:proofErr w:type="spellEnd"/>
      <w:r w:rsidRPr="00F52C7B">
        <w:t xml:space="preserve"> ≠ 0), influencing nearby objects to move toward denser SPAC regions—not due to a classical force, but due to registration preference.</w:t>
      </w:r>
    </w:p>
    <w:p w14:paraId="1D20E42E" w14:textId="77777777" w:rsidR="00F52C7B" w:rsidRDefault="00F52C7B" w:rsidP="00F52C7B">
      <w:pPr>
        <w:pStyle w:val="Heading2"/>
      </w:pPr>
      <w:r>
        <w:t>4. SPAC Geodesics: Understanding Free-Fall</w:t>
      </w:r>
    </w:p>
    <w:p w14:paraId="49A88137" w14:textId="77777777" w:rsidR="00F52C7B" w:rsidRDefault="00F52C7B" w:rsidP="00F52C7B">
      <w:r w:rsidRPr="00F52C7B">
        <w:t>A free particle follows a path that maximizes registration stability, formulated as:</w:t>
      </w:r>
    </w:p>
    <w:p w14:paraId="2325303F" w14:textId="77777777" w:rsidR="00F52C7B" w:rsidRDefault="00F52C7B" w:rsidP="00F52C7B">
      <w:proofErr w:type="spellStart"/>
      <w:r w:rsidRPr="00F52C7B">
        <w:t>δ∫ρSPAC</w:t>
      </w:r>
      <w:proofErr w:type="spellEnd"/>
      <w:r w:rsidRPr="00F52C7B">
        <w:t xml:space="preserve"> </w:t>
      </w:r>
      <w:proofErr w:type="spellStart"/>
      <w:r w:rsidRPr="00F52C7B">
        <w:t>dτ</w:t>
      </w:r>
      <w:proofErr w:type="spellEnd"/>
      <w:r w:rsidRPr="00F52C7B">
        <w:t xml:space="preserve"> = 0</w:t>
      </w:r>
    </w:p>
    <w:p w14:paraId="1852A1ED" w14:textId="77777777" w:rsidR="00F52C7B" w:rsidRDefault="00F52C7B" w:rsidP="00F52C7B">
      <w:r w:rsidRPr="00F52C7B">
        <w:lastRenderedPageBreak/>
        <w:t>This principle replaces spacetime geodesics with SPAC geodesics, which, in the classical limit, reduce precisely to the geodesics of general relativity.</w:t>
      </w:r>
    </w:p>
    <w:p w14:paraId="6E11E74D" w14:textId="77777777" w:rsidR="00F52C7B" w:rsidRDefault="00F52C7B" w:rsidP="00F52C7B">
      <w:pPr>
        <w:pStyle w:val="Heading2"/>
      </w:pPr>
      <w:r>
        <w:t>5. Correspondence with Einstein’s Field Equations</w:t>
      </w:r>
    </w:p>
    <w:p w14:paraId="396D5F17" w14:textId="77777777" w:rsidR="00F52C7B" w:rsidRDefault="00F52C7B" w:rsidP="00F52C7B">
      <w:r w:rsidRPr="00F52C7B">
        <w:t>General relativity’s field equations are:</w:t>
      </w:r>
    </w:p>
    <w:p w14:paraId="2DA1FD2B" w14:textId="77777777" w:rsidR="00F52C7B" w:rsidRDefault="00F52C7B" w:rsidP="00F52C7B">
      <w:proofErr w:type="spellStart"/>
      <w:r w:rsidRPr="00F52C7B">
        <w:t>Gμν</w:t>
      </w:r>
      <w:proofErr w:type="spellEnd"/>
      <w:r w:rsidRPr="00F52C7B">
        <w:t xml:space="preserve"> = 8πG </w:t>
      </w:r>
      <w:proofErr w:type="spellStart"/>
      <w:r w:rsidRPr="00F52C7B">
        <w:t>Tμν</w:t>
      </w:r>
      <w:proofErr w:type="spellEnd"/>
    </w:p>
    <w:p w14:paraId="412819B9" w14:textId="77777777" w:rsidR="00F52C7B" w:rsidRDefault="00F52C7B" w:rsidP="00F52C7B">
      <w:pPr>
        <w:pStyle w:val="ListParagraph"/>
        <w:numPr>
          <w:ilvl w:val="0"/>
          <w:numId w:val="2"/>
        </w:numPr>
      </w:pPr>
      <w:proofErr w:type="spellStart"/>
      <w:r w:rsidRPr="00F52C7B">
        <w:t>Tμν</w:t>
      </w:r>
      <w:proofErr w:type="spellEnd"/>
      <w:r w:rsidRPr="00F52C7B">
        <w:t>: Local registration rate in SPAC terms</w:t>
      </w:r>
    </w:p>
    <w:p w14:paraId="28F5BF8E" w14:textId="77777777" w:rsidR="00F52C7B" w:rsidRDefault="00F52C7B" w:rsidP="00F52C7B">
      <w:pPr>
        <w:pStyle w:val="ListParagraph"/>
        <w:numPr>
          <w:ilvl w:val="0"/>
          <w:numId w:val="2"/>
        </w:numPr>
      </w:pPr>
      <w:proofErr w:type="spellStart"/>
      <w:r w:rsidRPr="00F52C7B">
        <w:t>Gμν</w:t>
      </w:r>
      <w:proofErr w:type="spellEnd"/>
      <w:r w:rsidRPr="00F52C7B">
        <w:t>: SPAC density curvature tensor</w:t>
      </w:r>
    </w:p>
    <w:p w14:paraId="60227069" w14:textId="77777777" w:rsidR="00F52C7B" w:rsidRDefault="00F52C7B" w:rsidP="00F52C7B">
      <w:r w:rsidRPr="00F52C7B">
        <w:t>Conceptually, mass–energy creates a SPAC density gradient, which in turn produces observable curvature.</w:t>
      </w:r>
    </w:p>
    <w:p w14:paraId="3F953BD4" w14:textId="77777777" w:rsidR="00F52C7B" w:rsidRDefault="00F52C7B" w:rsidP="00F52C7B">
      <w:pPr>
        <w:pStyle w:val="Heading2"/>
      </w:pPr>
      <w:r>
        <w:t>6. Time Dilation Explained via SPAC</w:t>
      </w:r>
    </w:p>
    <w:p w14:paraId="0863BA41" w14:textId="77777777" w:rsidR="00F52C7B" w:rsidRDefault="00F52C7B" w:rsidP="00F52C7B">
      <w:r w:rsidRPr="00F52C7B">
        <w:t>Near a massive body, the SPAC registration rate increases, C-axis freedom collapses more rapidly, and local T-axis increments slow compared to distant SPACs. Thus:</w:t>
      </w:r>
    </w:p>
    <w:p w14:paraId="3B4BE9FE" w14:textId="77777777" w:rsidR="00F52C7B" w:rsidRDefault="00F52C7B" w:rsidP="00F52C7B">
      <w:proofErr w:type="spellStart"/>
      <w:r w:rsidRPr="00F52C7B">
        <w:t>ΔTnear</w:t>
      </w:r>
      <w:proofErr w:type="spellEnd"/>
      <w:r w:rsidRPr="00F52C7B">
        <w:t xml:space="preserve"> mass &lt; </w:t>
      </w:r>
      <w:proofErr w:type="spellStart"/>
      <w:r w:rsidRPr="00F52C7B">
        <w:t>ΔTfar</w:t>
      </w:r>
      <w:proofErr w:type="spellEnd"/>
    </w:p>
    <w:p w14:paraId="20111781" w14:textId="77777777" w:rsidR="00F52C7B" w:rsidRDefault="00F52C7B" w:rsidP="00F52C7B">
      <w:r w:rsidRPr="00F52C7B">
        <w:t>This effect is a direct result of denser registration and does not require paradoxical explanations.</w:t>
      </w:r>
    </w:p>
    <w:p w14:paraId="3DD57A98" w14:textId="77777777" w:rsidR="00F52C7B" w:rsidRDefault="00F52C7B" w:rsidP="00F52C7B">
      <w:pPr>
        <w:pStyle w:val="Heading2"/>
      </w:pPr>
      <w:r>
        <w:t>7. Gravity and Quantum Superposition</w:t>
      </w:r>
    </w:p>
    <w:p w14:paraId="76024E06" w14:textId="77777777" w:rsidR="00F52C7B" w:rsidRDefault="00F52C7B" w:rsidP="00F52C7B">
      <w:r w:rsidRPr="00F52C7B">
        <w:t xml:space="preserve">Gravity manifests classically because massive systems destroy C-axis coherence, and gravity emerges only when the C-axis is already suppressed. This explains the absence of gravitational superposition and the resistance of gravity to quantization: gravity cannot be </w:t>
      </w:r>
      <w:proofErr w:type="gramStart"/>
      <w:r w:rsidRPr="00F52C7B">
        <w:t>quantized</w:t>
      </w:r>
      <w:proofErr w:type="gramEnd"/>
      <w:r w:rsidRPr="00F52C7B">
        <w:t xml:space="preserve"> because it only arises after C-axis collapse.</w:t>
      </w:r>
    </w:p>
    <w:p w14:paraId="7165201E" w14:textId="77777777" w:rsidR="00F52C7B" w:rsidRDefault="00F52C7B" w:rsidP="00F52C7B">
      <w:pPr>
        <w:pStyle w:val="Heading2"/>
      </w:pPr>
      <w:r>
        <w:t>8. Black Holes in SPAC Theory</w:t>
      </w:r>
    </w:p>
    <w:p w14:paraId="3AD576FE" w14:textId="77777777" w:rsidR="00F52C7B" w:rsidRDefault="00F52C7B" w:rsidP="00F52C7B">
      <w:r w:rsidRPr="00F52C7B">
        <w:t>A black hole is characterized as a region where SPAC density approaches infinity (</w:t>
      </w:r>
      <w:proofErr w:type="spellStart"/>
      <w:r w:rsidRPr="00F52C7B">
        <w:t>ρSPAC</w:t>
      </w:r>
      <w:proofErr w:type="spellEnd"/>
      <w:r w:rsidRPr="00F52C7B">
        <w:t xml:space="preserve"> → ∞), and the sum of latent states vanishes (Σ → </w:t>
      </w:r>
      <w:r w:rsidRPr="00F52C7B">
        <w:rPr>
          <w:rFonts w:ascii="Cambria Math" w:hAnsi="Cambria Math" w:cs="Cambria Math"/>
        </w:rPr>
        <w:t>∅</w:t>
      </w:r>
      <w:r w:rsidRPr="00F52C7B">
        <w:t>). In such regions:</w:t>
      </w:r>
    </w:p>
    <w:p w14:paraId="32DECB60" w14:textId="77777777" w:rsidR="00F52C7B" w:rsidRDefault="00F52C7B" w:rsidP="00F52C7B">
      <w:pPr>
        <w:pStyle w:val="ListParagraph"/>
        <w:numPr>
          <w:ilvl w:val="0"/>
          <w:numId w:val="3"/>
        </w:numPr>
      </w:pPr>
      <w:r w:rsidRPr="00F52C7B">
        <w:t>No latent states survive</w:t>
      </w:r>
    </w:p>
    <w:p w14:paraId="03C03877" w14:textId="77777777" w:rsidR="00F52C7B" w:rsidRDefault="00F52C7B" w:rsidP="00F52C7B">
      <w:pPr>
        <w:pStyle w:val="ListParagraph"/>
        <w:numPr>
          <w:ilvl w:val="0"/>
          <w:numId w:val="3"/>
        </w:numPr>
      </w:pPr>
      <w:r w:rsidRPr="00F52C7B">
        <w:t>All phenomena are instantly registered</w:t>
      </w:r>
    </w:p>
    <w:p w14:paraId="3E5F8D17" w14:textId="77777777" w:rsidR="00F52C7B" w:rsidRDefault="00F52C7B" w:rsidP="00F52C7B">
      <w:pPr>
        <w:pStyle w:val="ListParagraph"/>
        <w:numPr>
          <w:ilvl w:val="0"/>
          <w:numId w:val="3"/>
        </w:numPr>
      </w:pPr>
      <w:r w:rsidRPr="00F52C7B">
        <w:t>No future possibilities exist locally</w:t>
      </w:r>
    </w:p>
    <w:p w14:paraId="75A3E3EC" w14:textId="77777777" w:rsidR="00F52C7B" w:rsidRDefault="00F52C7B" w:rsidP="00F52C7B">
      <w:r w:rsidRPr="00F52C7B">
        <w:t>The event horizon marks the boundary of C-axis extinction, not merely a boundary for light.</w:t>
      </w:r>
    </w:p>
    <w:p w14:paraId="613D7290" w14:textId="77777777" w:rsidR="00F52C7B" w:rsidRDefault="00F52C7B" w:rsidP="00F52C7B">
      <w:pPr>
        <w:pStyle w:val="Heading2"/>
      </w:pPr>
      <w:r>
        <w:lastRenderedPageBreak/>
        <w:t>9. Minimal Gravity Axiom</w:t>
      </w:r>
    </w:p>
    <w:p w14:paraId="7B11A39B" w14:textId="77777777" w:rsidR="00F52C7B" w:rsidRDefault="00F52C7B" w:rsidP="00F52C7B">
      <w:r w:rsidRPr="00F52C7B">
        <w:t>Axiom G (SPAC Gravity): Gravitational phenomena arise from gradients in SPAC registration density that constrain C-axis accessibility, thereby producing the appearance of spacetime curvature.</w:t>
      </w:r>
    </w:p>
    <w:p w14:paraId="3C17365C" w14:textId="77777777" w:rsidR="00F52C7B" w:rsidRDefault="00F52C7B" w:rsidP="00F52C7B">
      <w:pPr>
        <w:pStyle w:val="Heading2"/>
      </w:pPr>
      <w:r>
        <w:t>10. One-Sentence Summary</w:t>
      </w:r>
    </w:p>
    <w:p w14:paraId="560ED42F" w14:textId="77777777" w:rsidR="00F52C7B" w:rsidRDefault="00F52C7B" w:rsidP="00F52C7B">
      <w:r w:rsidRPr="00F52C7B">
        <w:t xml:space="preserve">Matter does not curve </w:t>
      </w:r>
      <w:proofErr w:type="gramStart"/>
      <w:r w:rsidRPr="00F52C7B">
        <w:t>spacetime—</w:t>
      </w:r>
      <w:proofErr w:type="gramEnd"/>
      <w:r w:rsidRPr="00F52C7B">
        <w:t>it densifies reality’s registration.</w:t>
      </w:r>
    </w:p>
    <w:p w14:paraId="226CC760" w14:textId="77777777" w:rsidR="00F52C7B" w:rsidRDefault="00F52C7B" w:rsidP="00F52C7B">
      <w:pPr>
        <w:pStyle w:val="Heading2"/>
      </w:pPr>
      <w:r>
        <w:t>Natural Next Steps in SPAC Gravity Research</w:t>
      </w:r>
    </w:p>
    <w:p w14:paraId="6EE07885" w14:textId="77777777" w:rsidR="00F52C7B" w:rsidRDefault="00F52C7B" w:rsidP="00F52C7B">
      <w:r w:rsidRPr="00F52C7B">
        <w:t>To advance the rigor of SPAC theory, the following sections are logical continuations:</w:t>
      </w:r>
    </w:p>
    <w:p w14:paraId="78A34A1F" w14:textId="77777777" w:rsidR="00F52C7B" w:rsidRDefault="00F52C7B" w:rsidP="00F52C7B">
      <w:pPr>
        <w:pStyle w:val="ListParagraph"/>
        <w:numPr>
          <w:ilvl w:val="0"/>
          <w:numId w:val="4"/>
        </w:numPr>
      </w:pPr>
      <w:r w:rsidRPr="00F52C7B">
        <w:t>SPAC curvature tensor</w:t>
      </w:r>
    </w:p>
    <w:p w14:paraId="6E8DDD5C" w14:textId="77777777" w:rsidR="00F52C7B" w:rsidRDefault="00F52C7B" w:rsidP="00F52C7B">
      <w:pPr>
        <w:pStyle w:val="ListParagraph"/>
        <w:numPr>
          <w:ilvl w:val="0"/>
          <w:numId w:val="4"/>
        </w:numPr>
      </w:pPr>
      <w:r w:rsidRPr="00F52C7B">
        <w:t>Gravitational waves as oscillations in SPAC density</w:t>
      </w:r>
    </w:p>
    <w:p w14:paraId="0D1306BC" w14:textId="77777777" w:rsidR="00F52C7B" w:rsidRDefault="00F52C7B" w:rsidP="00F52C7B">
      <w:pPr>
        <w:pStyle w:val="ListParagraph"/>
        <w:numPr>
          <w:ilvl w:val="0"/>
          <w:numId w:val="4"/>
        </w:numPr>
      </w:pPr>
      <w:r w:rsidRPr="00F52C7B">
        <w:t>Dark matter as unseen SPAC clustering</w:t>
      </w:r>
    </w:p>
    <w:p w14:paraId="3EF90E28" w14:textId="77777777" w:rsidR="00F52C7B" w:rsidRDefault="00F52C7B" w:rsidP="00F52C7B">
      <w:pPr>
        <w:pStyle w:val="ListParagraph"/>
        <w:numPr>
          <w:ilvl w:val="0"/>
          <w:numId w:val="4"/>
        </w:numPr>
      </w:pPr>
      <w:r w:rsidRPr="00F52C7B">
        <w:t>Dark energy as global SPAC expansion pressure</w:t>
      </w:r>
    </w:p>
    <w:p w14:paraId="41FD771B" w14:textId="77777777" w:rsidR="00F52C7B" w:rsidRDefault="00F52C7B" w:rsidP="00F52C7B">
      <w:pPr>
        <w:pStyle w:val="Heading1"/>
      </w:pPr>
      <w:r>
        <w:t>SPAC Curvature Tensor: Formalizing Gravity</w:t>
      </w:r>
    </w:p>
    <w:p w14:paraId="73380979" w14:textId="77777777" w:rsidR="00F52C7B" w:rsidRDefault="00F52C7B" w:rsidP="00F52C7B">
      <w:r w:rsidRPr="00F52C7B">
        <w:t>The tensor-level formulation of SPAC gravity ensures compatibility with general relativity while offering a conceptually deeper foundation.</w:t>
      </w:r>
    </w:p>
    <w:p w14:paraId="008F3257" w14:textId="77777777" w:rsidR="00F52C7B" w:rsidRDefault="00F52C7B" w:rsidP="00F52C7B">
      <w:pPr>
        <w:pStyle w:val="Heading2"/>
      </w:pPr>
      <w:r>
        <w:t>1. Fundamental Object: The SPAC Density Field</w:t>
      </w:r>
    </w:p>
    <w:p w14:paraId="51FC30DA" w14:textId="77777777" w:rsidR="00F52C7B" w:rsidRDefault="00F52C7B" w:rsidP="00F52C7B">
      <w:r w:rsidRPr="00F52C7B">
        <w:t>Start with the SPAC registration density:</w:t>
      </w:r>
    </w:p>
    <w:p w14:paraId="43926023" w14:textId="77777777" w:rsidR="00F52C7B" w:rsidRDefault="00F52C7B" w:rsidP="00F52C7B">
      <w:r w:rsidRPr="00F52C7B">
        <w:t>ρ(</w:t>
      </w:r>
      <w:proofErr w:type="spellStart"/>
      <w:r w:rsidRPr="00F52C7B">
        <w:t>xμ</w:t>
      </w:r>
      <w:proofErr w:type="spellEnd"/>
      <w:r w:rsidRPr="00F52C7B">
        <w:t xml:space="preserve">) ≡ </w:t>
      </w:r>
      <w:proofErr w:type="spellStart"/>
      <w:r w:rsidRPr="00F52C7B">
        <w:t>ρSPAC</w:t>
      </w:r>
      <w:proofErr w:type="spellEnd"/>
      <w:r w:rsidRPr="00F52C7B">
        <w:t>(</w:t>
      </w:r>
      <w:proofErr w:type="spellStart"/>
      <w:r w:rsidRPr="00F52C7B">
        <w:t>xμ</w:t>
      </w:r>
      <w:proofErr w:type="spellEnd"/>
      <w:r w:rsidRPr="00F52C7B">
        <w:t>)</w:t>
      </w:r>
    </w:p>
    <w:p w14:paraId="7C88E83F" w14:textId="77777777" w:rsidR="00F52C7B" w:rsidRDefault="00F52C7B" w:rsidP="00F52C7B">
      <w:r w:rsidRPr="00F52C7B">
        <w:t xml:space="preserve">Here, </w:t>
      </w:r>
      <w:proofErr w:type="spellStart"/>
      <w:r w:rsidRPr="00F52C7B">
        <w:t>xμ</w:t>
      </w:r>
      <w:proofErr w:type="spellEnd"/>
      <w:r w:rsidRPr="00F52C7B">
        <w:t xml:space="preserve"> are emergent spacetime coordinates, arising from dense SPAC overlap. The SPAC density scalar replaces “mass–energy” as the primary gravitational source.</w:t>
      </w:r>
    </w:p>
    <w:p w14:paraId="20BF2C59" w14:textId="77777777" w:rsidR="00F52C7B" w:rsidRDefault="00F52C7B" w:rsidP="00F52C7B">
      <w:pPr>
        <w:pStyle w:val="Heading2"/>
      </w:pPr>
      <w:r>
        <w:t>2. The SPAC Metric Tensor</w:t>
      </w:r>
    </w:p>
    <w:p w14:paraId="5E0428DD" w14:textId="77777777" w:rsidR="00F52C7B" w:rsidRDefault="00F52C7B" w:rsidP="00F52C7B">
      <w:r w:rsidRPr="00F52C7B">
        <w:t>An effective metric is defined, induced by SPAC density:</w:t>
      </w:r>
    </w:p>
    <w:p w14:paraId="3EAC4ED2" w14:textId="77777777" w:rsidR="00F52C7B" w:rsidRDefault="00F52C7B" w:rsidP="00F52C7B">
      <w:proofErr w:type="spellStart"/>
      <w:r w:rsidRPr="00F52C7B">
        <w:t>g</w:t>
      </w:r>
      <w:proofErr w:type="gramStart"/>
      <w:r w:rsidRPr="00F52C7B">
        <w:t>μν</w:t>
      </w:r>
      <w:proofErr w:type="spellEnd"/>
      <w:r w:rsidRPr="00F52C7B">
        <w:t>(</w:t>
      </w:r>
      <w:proofErr w:type="gramEnd"/>
      <w:r w:rsidRPr="00F52C7B">
        <w:t xml:space="preserve">SPAC) = </w:t>
      </w:r>
      <w:proofErr w:type="spellStart"/>
      <w:r w:rsidRPr="00F52C7B">
        <w:t>ημν</w:t>
      </w:r>
      <w:proofErr w:type="spellEnd"/>
      <w:r w:rsidRPr="00F52C7B">
        <w:t xml:space="preserve"> + κ ∂</w:t>
      </w:r>
      <w:proofErr w:type="spellStart"/>
      <w:r w:rsidRPr="00F52C7B">
        <w:t>μ∂νln</w:t>
      </w:r>
      <w:proofErr w:type="spellEnd"/>
      <w:r w:rsidRPr="00F52C7B">
        <w:rPr>
          <w:rFonts w:ascii="Arial" w:hAnsi="Arial" w:cs="Arial"/>
        </w:rPr>
        <w:t> </w:t>
      </w:r>
      <w:r w:rsidRPr="00F52C7B">
        <w:t>ρ</w:t>
      </w:r>
    </w:p>
    <w:p w14:paraId="7E226971" w14:textId="77777777" w:rsidR="00F52C7B" w:rsidRDefault="00F52C7B" w:rsidP="00F52C7B">
      <w:pPr>
        <w:pStyle w:val="ListParagraph"/>
        <w:numPr>
          <w:ilvl w:val="0"/>
          <w:numId w:val="5"/>
        </w:numPr>
      </w:pPr>
      <w:proofErr w:type="spellStart"/>
      <w:r w:rsidRPr="00F52C7B">
        <w:t>ημν</w:t>
      </w:r>
      <w:proofErr w:type="spellEnd"/>
      <w:r w:rsidRPr="00F52C7B">
        <w:t>: Flat Minkowski metric</w:t>
      </w:r>
    </w:p>
    <w:p w14:paraId="145F94F5" w14:textId="77777777" w:rsidR="00F52C7B" w:rsidRDefault="00F52C7B" w:rsidP="00F52C7B">
      <w:pPr>
        <w:pStyle w:val="ListParagraph"/>
        <w:numPr>
          <w:ilvl w:val="0"/>
          <w:numId w:val="5"/>
        </w:numPr>
      </w:pPr>
      <w:r w:rsidRPr="00F52C7B">
        <w:t>κ: SPAC–gravity coupling constant</w:t>
      </w:r>
    </w:p>
    <w:p w14:paraId="306527B0" w14:textId="77777777" w:rsidR="00F52C7B" w:rsidRDefault="00F52C7B" w:rsidP="00F52C7B">
      <w:r w:rsidRPr="00F52C7B">
        <w:t>Second derivatives encode registration compression, and spacetime curvature results from gradients in SPAC density.</w:t>
      </w:r>
    </w:p>
    <w:p w14:paraId="6B9F3862" w14:textId="77777777" w:rsidR="00F52C7B" w:rsidRDefault="00F52C7B" w:rsidP="00F52C7B">
      <w:pPr>
        <w:pStyle w:val="Heading2"/>
      </w:pPr>
      <w:r>
        <w:lastRenderedPageBreak/>
        <w:t>3. SPAC Connection: Christoffel Symbols</w:t>
      </w:r>
    </w:p>
    <w:p w14:paraId="73413F70" w14:textId="77777777" w:rsidR="00F52C7B" w:rsidRDefault="00F52C7B" w:rsidP="00F52C7B">
      <w:r w:rsidRPr="00F52C7B">
        <w:t>The connection is derived from the metric:</w:t>
      </w:r>
    </w:p>
    <w:p w14:paraId="22C0B25F" w14:textId="77777777" w:rsidR="00F52C7B" w:rsidRDefault="00F52C7B" w:rsidP="00F52C7B">
      <w:proofErr w:type="spellStart"/>
      <w:r w:rsidRPr="00F52C7B">
        <w:t>Γμνλ</w:t>
      </w:r>
      <w:proofErr w:type="spellEnd"/>
      <w:r w:rsidRPr="00F52C7B">
        <w:t xml:space="preserve"> = ½ </w:t>
      </w:r>
      <w:proofErr w:type="spellStart"/>
      <w:r w:rsidRPr="00F52C7B">
        <w:t>g</w:t>
      </w:r>
      <w:proofErr w:type="gramStart"/>
      <w:r w:rsidRPr="00F52C7B">
        <w:t>λσ</w:t>
      </w:r>
      <w:proofErr w:type="spellEnd"/>
      <w:r w:rsidRPr="00F52C7B">
        <w:t>(</w:t>
      </w:r>
      <w:proofErr w:type="gramEnd"/>
      <w:r w:rsidRPr="00F52C7B">
        <w:t>∂</w:t>
      </w:r>
      <w:proofErr w:type="spellStart"/>
      <w:r w:rsidRPr="00F52C7B">
        <w:t>μgνσ</w:t>
      </w:r>
      <w:proofErr w:type="spellEnd"/>
      <w:r w:rsidRPr="00F52C7B">
        <w:t xml:space="preserve"> + ∂</w:t>
      </w:r>
      <w:proofErr w:type="spellStart"/>
      <w:r w:rsidRPr="00F52C7B">
        <w:t>νgμσ</w:t>
      </w:r>
      <w:proofErr w:type="spellEnd"/>
      <w:r w:rsidRPr="00F52C7B">
        <w:t xml:space="preserve"> − ∂</w:t>
      </w:r>
      <w:proofErr w:type="spellStart"/>
      <w:r w:rsidRPr="00F52C7B">
        <w:t>σgμν</w:t>
      </w:r>
      <w:proofErr w:type="spellEnd"/>
      <w:r w:rsidRPr="00F52C7B">
        <w:t>)</w:t>
      </w:r>
    </w:p>
    <w:p w14:paraId="4DB35250" w14:textId="77777777" w:rsidR="00F52C7B" w:rsidRDefault="00F52C7B" w:rsidP="00F52C7B">
      <w:pPr>
        <w:pStyle w:val="ListParagraph"/>
        <w:numPr>
          <w:ilvl w:val="0"/>
          <w:numId w:val="6"/>
        </w:numPr>
      </w:pPr>
      <w:r w:rsidRPr="00F52C7B">
        <w:t>Encodes registration redirection</w:t>
      </w:r>
    </w:p>
    <w:p w14:paraId="795F6D6B" w14:textId="77777777" w:rsidR="00F52C7B" w:rsidRDefault="00F52C7B" w:rsidP="00F52C7B">
      <w:pPr>
        <w:pStyle w:val="ListParagraph"/>
        <w:numPr>
          <w:ilvl w:val="0"/>
          <w:numId w:val="6"/>
        </w:numPr>
      </w:pPr>
      <w:r w:rsidRPr="00F52C7B">
        <w:t>Free-fall corresponds to maximal registration continuity</w:t>
      </w:r>
    </w:p>
    <w:p w14:paraId="13E8964F" w14:textId="77777777" w:rsidR="00F52C7B" w:rsidRDefault="00F52C7B" w:rsidP="00F52C7B">
      <w:pPr>
        <w:pStyle w:val="Heading2"/>
      </w:pPr>
      <w:r>
        <w:t>4. SPAC Curvature Tensor</w:t>
      </w:r>
    </w:p>
    <w:p w14:paraId="428D6472" w14:textId="77777777" w:rsidR="00F52C7B" w:rsidRDefault="00F52C7B" w:rsidP="00F52C7B">
      <w:r w:rsidRPr="00F52C7B">
        <w:t>The SPAC Riemann tensor is defined as:</w:t>
      </w:r>
    </w:p>
    <w:p w14:paraId="73FAFF4A" w14:textId="77777777" w:rsidR="00F52C7B" w:rsidRDefault="00F52C7B" w:rsidP="00F52C7B">
      <w:proofErr w:type="spellStart"/>
      <w:r w:rsidRPr="00F52C7B">
        <w:t>Rσμνρ</w:t>
      </w:r>
      <w:proofErr w:type="spellEnd"/>
      <w:r w:rsidRPr="00F52C7B">
        <w:t xml:space="preserve"> = ∂</w:t>
      </w:r>
      <w:proofErr w:type="spellStart"/>
      <w:r w:rsidRPr="00F52C7B">
        <w:t>μΓνσρ</w:t>
      </w:r>
      <w:proofErr w:type="spellEnd"/>
      <w:r w:rsidRPr="00F52C7B">
        <w:t xml:space="preserve"> − ∂</w:t>
      </w:r>
      <w:proofErr w:type="spellStart"/>
      <w:r w:rsidRPr="00F52C7B">
        <w:t>νΓμσρ</w:t>
      </w:r>
      <w:proofErr w:type="spellEnd"/>
      <w:r w:rsidRPr="00F52C7B">
        <w:t xml:space="preserve"> + </w:t>
      </w:r>
      <w:proofErr w:type="spellStart"/>
      <w:r w:rsidRPr="00F52C7B">
        <w:t>ΓμλρΓνσλ</w:t>
      </w:r>
      <w:proofErr w:type="spellEnd"/>
      <w:r w:rsidRPr="00F52C7B">
        <w:t xml:space="preserve"> − </w:t>
      </w:r>
      <w:proofErr w:type="spellStart"/>
      <w:r w:rsidRPr="00F52C7B">
        <w:t>ΓνλρΓμσλ</w:t>
      </w:r>
      <w:proofErr w:type="spellEnd"/>
    </w:p>
    <w:p w14:paraId="00B68BAA" w14:textId="77777777" w:rsidR="00F52C7B" w:rsidRDefault="00F52C7B" w:rsidP="00F52C7B">
      <w:r w:rsidRPr="00F52C7B">
        <w:t>This tensor measures the non-integrability of SPAC registration paths.</w:t>
      </w:r>
    </w:p>
    <w:p w14:paraId="655BB013" w14:textId="77777777" w:rsidR="00F52C7B" w:rsidRDefault="00F52C7B" w:rsidP="00F52C7B">
      <w:pPr>
        <w:pStyle w:val="Heading2"/>
      </w:pPr>
      <w:r>
        <w:t>5. SPAC Ricci Tensor and Scalar</w:t>
      </w:r>
    </w:p>
    <w:p w14:paraId="1AF230CB" w14:textId="77777777" w:rsidR="00F52C7B" w:rsidRDefault="00F52C7B" w:rsidP="00F52C7B">
      <w:r w:rsidRPr="00F52C7B">
        <w:t>The Ricci tensor and scalar are constructed as follows:</w:t>
      </w:r>
    </w:p>
    <w:p w14:paraId="054832C8" w14:textId="77777777" w:rsidR="00F52C7B" w:rsidRDefault="00F52C7B" w:rsidP="00F52C7B">
      <w:proofErr w:type="spellStart"/>
      <w:r w:rsidRPr="00F52C7B">
        <w:t>Rμν</w:t>
      </w:r>
      <w:proofErr w:type="spellEnd"/>
      <w:r w:rsidRPr="00F52C7B">
        <w:t xml:space="preserve"> = </w:t>
      </w:r>
      <w:proofErr w:type="spellStart"/>
      <w:r w:rsidRPr="00F52C7B">
        <w:t>Rμλνλ</w:t>
      </w:r>
      <w:proofErr w:type="spellEnd"/>
    </w:p>
    <w:p w14:paraId="7231A8A4" w14:textId="77777777" w:rsidR="00F52C7B" w:rsidRDefault="00F52C7B" w:rsidP="00F52C7B">
      <w:r w:rsidRPr="00F52C7B">
        <w:t xml:space="preserve">R = </w:t>
      </w:r>
      <w:proofErr w:type="spellStart"/>
      <w:r w:rsidRPr="00F52C7B">
        <w:t>gμνRμν</w:t>
      </w:r>
      <w:proofErr w:type="spellEnd"/>
    </w:p>
    <w:p w14:paraId="5236F768" w14:textId="77777777" w:rsidR="00F52C7B" w:rsidRDefault="00F52C7B" w:rsidP="00F52C7B">
      <w:r w:rsidRPr="00F52C7B">
        <w:t>These quantities measure local compression of SPAC density.</w:t>
      </w:r>
    </w:p>
    <w:p w14:paraId="05170370" w14:textId="77777777" w:rsidR="00F52C7B" w:rsidRDefault="00F52C7B" w:rsidP="00F52C7B">
      <w:pPr>
        <w:pStyle w:val="Heading2"/>
      </w:pPr>
      <w:r>
        <w:t>6. SPAC Einstein Tensor</w:t>
      </w:r>
    </w:p>
    <w:p w14:paraId="6A887CF9" w14:textId="77777777" w:rsidR="00F52C7B" w:rsidRDefault="00F52C7B" w:rsidP="00F52C7B">
      <w:proofErr w:type="spellStart"/>
      <w:r w:rsidRPr="00F52C7B">
        <w:t>Gμν</w:t>
      </w:r>
      <w:proofErr w:type="spellEnd"/>
      <w:r w:rsidRPr="00F52C7B">
        <w:t xml:space="preserve"> = </w:t>
      </w:r>
      <w:proofErr w:type="spellStart"/>
      <w:r w:rsidRPr="00F52C7B">
        <w:t>Rμν</w:t>
      </w:r>
      <w:proofErr w:type="spellEnd"/>
      <w:r w:rsidRPr="00F52C7B">
        <w:t xml:space="preserve"> − ½ </w:t>
      </w:r>
      <w:proofErr w:type="spellStart"/>
      <w:r w:rsidRPr="00F52C7B">
        <w:t>gμνR</w:t>
      </w:r>
      <w:proofErr w:type="spellEnd"/>
    </w:p>
    <w:p w14:paraId="4277F0FC" w14:textId="77777777" w:rsidR="00F52C7B" w:rsidRDefault="00F52C7B" w:rsidP="00F52C7B">
      <w:r w:rsidRPr="00F52C7B">
        <w:t>This tensor represents registration geometry rather than fundamental spacetime geometry.</w:t>
      </w:r>
    </w:p>
    <w:p w14:paraId="6EA660A9" w14:textId="77777777" w:rsidR="00F52C7B" w:rsidRDefault="00F52C7B" w:rsidP="00F52C7B">
      <w:pPr>
        <w:pStyle w:val="Heading2"/>
      </w:pPr>
      <w:r>
        <w:t>7. SPAC Field Equation: The Core Result</w:t>
      </w:r>
    </w:p>
    <w:p w14:paraId="4F56149C" w14:textId="77777777" w:rsidR="00F52C7B" w:rsidRDefault="00F52C7B" w:rsidP="00F52C7B">
      <w:proofErr w:type="spellStart"/>
      <w:r w:rsidRPr="00F52C7B">
        <w:t>Gμν</w:t>
      </w:r>
      <w:proofErr w:type="spellEnd"/>
      <w:r w:rsidRPr="00F52C7B">
        <w:t xml:space="preserve"> = 8πG </w:t>
      </w:r>
      <w:proofErr w:type="spellStart"/>
      <w:r w:rsidRPr="00F52C7B">
        <w:t>Jμν</w:t>
      </w:r>
      <w:proofErr w:type="spellEnd"/>
    </w:p>
    <w:p w14:paraId="468C92D4" w14:textId="77777777" w:rsidR="00F52C7B" w:rsidRDefault="00F52C7B" w:rsidP="00F52C7B">
      <w:r w:rsidRPr="00F52C7B">
        <w:t>The SPAC source tensor is defined as:</w:t>
      </w:r>
    </w:p>
    <w:p w14:paraId="6358DC4D" w14:textId="77777777" w:rsidR="00F52C7B" w:rsidRDefault="00F52C7B" w:rsidP="00F52C7B">
      <w:proofErr w:type="spellStart"/>
      <w:r w:rsidRPr="00F52C7B">
        <w:t>Jμν</w:t>
      </w:r>
      <w:proofErr w:type="spellEnd"/>
      <w:r w:rsidRPr="00F52C7B">
        <w:t xml:space="preserve"> = </w:t>
      </w:r>
      <w:r w:rsidRPr="00F52C7B">
        <w:rPr>
          <w:rFonts w:ascii="Cambria Math" w:hAnsi="Cambria Math" w:cs="Cambria Math"/>
        </w:rPr>
        <w:t>∇</w:t>
      </w:r>
      <w:proofErr w:type="spellStart"/>
      <w:r w:rsidRPr="00F52C7B">
        <w:t>μ</w:t>
      </w:r>
      <w:r w:rsidRPr="00F52C7B">
        <w:rPr>
          <w:rFonts w:ascii="Cambria Math" w:hAnsi="Cambria Math" w:cs="Cambria Math"/>
        </w:rPr>
        <w:t>∇</w:t>
      </w:r>
      <w:r w:rsidRPr="00F52C7B">
        <w:t>νρ</w:t>
      </w:r>
      <w:proofErr w:type="spellEnd"/>
      <w:r w:rsidRPr="00F52C7B">
        <w:t xml:space="preserve"> − </w:t>
      </w:r>
      <w:proofErr w:type="spellStart"/>
      <w:r w:rsidRPr="00F52C7B">
        <w:t>gμν□ρ</w:t>
      </w:r>
      <w:proofErr w:type="spellEnd"/>
    </w:p>
    <w:p w14:paraId="21F5883E" w14:textId="77777777" w:rsidR="00F52C7B" w:rsidRDefault="00F52C7B" w:rsidP="00F52C7B">
      <w:pPr>
        <w:pStyle w:val="ListParagraph"/>
        <w:numPr>
          <w:ilvl w:val="0"/>
          <w:numId w:val="7"/>
        </w:numPr>
      </w:pPr>
      <w:proofErr w:type="spellStart"/>
      <w:r w:rsidRPr="00F52C7B">
        <w:t>Jμν</w:t>
      </w:r>
      <w:proofErr w:type="spellEnd"/>
      <w:r w:rsidRPr="00F52C7B">
        <w:t xml:space="preserve"> replaces the energy-momentum tensor </w:t>
      </w:r>
      <w:proofErr w:type="spellStart"/>
      <w:r w:rsidRPr="00F52C7B">
        <w:t>Tμν</w:t>
      </w:r>
      <w:proofErr w:type="spellEnd"/>
    </w:p>
    <w:p w14:paraId="62064891" w14:textId="77777777" w:rsidR="00F52C7B" w:rsidRDefault="00F52C7B" w:rsidP="00F52C7B">
      <w:pPr>
        <w:pStyle w:val="ListParagraph"/>
        <w:numPr>
          <w:ilvl w:val="0"/>
          <w:numId w:val="7"/>
        </w:numPr>
      </w:pPr>
      <w:r w:rsidRPr="00F52C7B">
        <w:t>It quantifies registration rate flux rather than energy flow</w:t>
      </w:r>
    </w:p>
    <w:p w14:paraId="321BBCA0" w14:textId="77777777" w:rsidR="00F52C7B" w:rsidRDefault="00F52C7B" w:rsidP="00F52C7B">
      <w:pPr>
        <w:pStyle w:val="Heading2"/>
      </w:pPr>
      <w:r>
        <w:t>8. Classical Limit: Recovery of General Relativity</w:t>
      </w:r>
    </w:p>
    <w:p w14:paraId="1540B323" w14:textId="77777777" w:rsidR="00F52C7B" w:rsidRDefault="00F52C7B" w:rsidP="00F52C7B">
      <w:r w:rsidRPr="00F52C7B">
        <w:t xml:space="preserve">In the classical limit, when ρ </w:t>
      </w:r>
      <w:r w:rsidRPr="00F52C7B">
        <w:rPr>
          <w:rFonts w:ascii="Cambria Math" w:hAnsi="Cambria Math" w:cs="Cambria Math"/>
        </w:rPr>
        <w:t>∝</w:t>
      </w:r>
      <w:r w:rsidRPr="00F52C7B">
        <w:t xml:space="preserve"> T00, SPAC overlap approaches infinity, and C-axis coherence approaches zero, then </w:t>
      </w:r>
      <w:proofErr w:type="spellStart"/>
      <w:r w:rsidRPr="00F52C7B">
        <w:t>Jμν</w:t>
      </w:r>
      <w:proofErr w:type="spellEnd"/>
      <w:r w:rsidRPr="00F52C7B">
        <w:t xml:space="preserve"> converges to </w:t>
      </w:r>
      <w:proofErr w:type="spellStart"/>
      <w:r w:rsidRPr="00F52C7B">
        <w:t>Tμν</w:t>
      </w:r>
      <w:proofErr w:type="spellEnd"/>
      <w:r w:rsidRPr="00F52C7B">
        <w:t>, and Einstein’s equations are exactly recovered.</w:t>
      </w:r>
    </w:p>
    <w:p w14:paraId="365B06CB" w14:textId="77777777" w:rsidR="00F52C7B" w:rsidRDefault="00F52C7B" w:rsidP="00F52C7B">
      <w:pPr>
        <w:pStyle w:val="Heading2"/>
      </w:pPr>
      <w:r>
        <w:lastRenderedPageBreak/>
        <w:t>9. Physical Meaning in Plain Language</w:t>
      </w:r>
    </w:p>
    <w:tbl>
      <w:tblPr>
        <w:tblStyle w:val="PlainTable1"/>
        <w:tblW w:w="0" w:type="auto"/>
        <w:tblLook w:val="0420" w:firstRow="1" w:lastRow="0" w:firstColumn="0" w:lastColumn="0" w:noHBand="0" w:noVBand="1"/>
      </w:tblPr>
      <w:tblGrid>
        <w:gridCol w:w="4675"/>
        <w:gridCol w:w="4675"/>
      </w:tblGrid>
      <w:tr w:rsidR="00F52C7B" w:rsidRPr="00F52C7B" w14:paraId="0E641A1C" w14:textId="77777777" w:rsidTr="00F52C7B">
        <w:trPr>
          <w:cnfStyle w:val="100000000000" w:firstRow="1" w:lastRow="0" w:firstColumn="0" w:lastColumn="0" w:oddVBand="0" w:evenVBand="0" w:oddHBand="0" w:evenHBand="0" w:firstRowFirstColumn="0" w:firstRowLastColumn="0" w:lastRowFirstColumn="0" w:lastRowLastColumn="0"/>
        </w:trPr>
        <w:tc>
          <w:tcPr>
            <w:tcW w:w="4675" w:type="dxa"/>
          </w:tcPr>
          <w:p w14:paraId="286DC009" w14:textId="314A4AC3" w:rsidR="00F52C7B" w:rsidRPr="00F52C7B" w:rsidRDefault="00F52C7B" w:rsidP="00F52C7B">
            <w:r>
              <w:t>Tensor</w:t>
            </w:r>
          </w:p>
        </w:tc>
        <w:tc>
          <w:tcPr>
            <w:tcW w:w="4675" w:type="dxa"/>
          </w:tcPr>
          <w:p w14:paraId="156CEA45" w14:textId="0A22E339" w:rsidR="00F52C7B" w:rsidRPr="00F52C7B" w:rsidRDefault="00F52C7B" w:rsidP="00F52C7B">
            <w:r>
              <w:t>SPAC Meaning</w:t>
            </w:r>
          </w:p>
        </w:tc>
      </w:tr>
      <w:tr w:rsidR="00F52C7B" w:rsidRPr="00F52C7B" w14:paraId="6D20D0C4" w14:textId="77777777" w:rsidTr="00F52C7B">
        <w:trPr>
          <w:cnfStyle w:val="000000100000" w:firstRow="0" w:lastRow="0" w:firstColumn="0" w:lastColumn="0" w:oddVBand="0" w:evenVBand="0" w:oddHBand="1" w:evenHBand="0" w:firstRowFirstColumn="0" w:firstRowLastColumn="0" w:lastRowFirstColumn="0" w:lastRowLastColumn="0"/>
        </w:trPr>
        <w:tc>
          <w:tcPr>
            <w:tcW w:w="4675" w:type="dxa"/>
          </w:tcPr>
          <w:p w14:paraId="5D3AFF30" w14:textId="1EF5D81B" w:rsidR="00F52C7B" w:rsidRDefault="00F52C7B" w:rsidP="00F52C7B">
            <w:r>
              <w:t>g&lt;sub&gt;</w:t>
            </w:r>
            <w:proofErr w:type="spellStart"/>
            <w:r>
              <w:t>μν</w:t>
            </w:r>
            <w:proofErr w:type="spellEnd"/>
            <w:r>
              <w:t>&lt;/sub&gt;</w:t>
            </w:r>
          </w:p>
        </w:tc>
        <w:tc>
          <w:tcPr>
            <w:tcW w:w="4675" w:type="dxa"/>
          </w:tcPr>
          <w:p w14:paraId="3B5CAB34" w14:textId="587042AC" w:rsidR="00F52C7B" w:rsidRDefault="00F52C7B" w:rsidP="00F52C7B">
            <w:r>
              <w:t>Registration geometry</w:t>
            </w:r>
          </w:p>
        </w:tc>
      </w:tr>
      <w:tr w:rsidR="00F52C7B" w:rsidRPr="00F52C7B" w14:paraId="72E29940" w14:textId="77777777" w:rsidTr="00F52C7B">
        <w:tc>
          <w:tcPr>
            <w:tcW w:w="4675" w:type="dxa"/>
          </w:tcPr>
          <w:p w14:paraId="0EBC9D77" w14:textId="7A1E20C3" w:rsidR="00F52C7B" w:rsidRDefault="00F52C7B" w:rsidP="00F52C7B">
            <w:r>
              <w:t>Γ&lt;sub&gt;</w:t>
            </w:r>
            <w:proofErr w:type="spellStart"/>
            <w:r>
              <w:t>μνλ</w:t>
            </w:r>
            <w:proofErr w:type="spellEnd"/>
            <w:r>
              <w:t>&lt;/sub&gt;</w:t>
            </w:r>
          </w:p>
        </w:tc>
        <w:tc>
          <w:tcPr>
            <w:tcW w:w="4675" w:type="dxa"/>
          </w:tcPr>
          <w:p w14:paraId="74F194B3" w14:textId="70DBC40F" w:rsidR="00F52C7B" w:rsidRDefault="00F52C7B" w:rsidP="00F52C7B">
            <w:r>
              <w:t>Registration redirection</w:t>
            </w:r>
          </w:p>
        </w:tc>
      </w:tr>
      <w:tr w:rsidR="00F52C7B" w:rsidRPr="00F52C7B" w14:paraId="0247046B" w14:textId="77777777" w:rsidTr="00F52C7B">
        <w:trPr>
          <w:cnfStyle w:val="000000100000" w:firstRow="0" w:lastRow="0" w:firstColumn="0" w:lastColumn="0" w:oddVBand="0" w:evenVBand="0" w:oddHBand="1" w:evenHBand="0" w:firstRowFirstColumn="0" w:firstRowLastColumn="0" w:lastRowFirstColumn="0" w:lastRowLastColumn="0"/>
        </w:trPr>
        <w:tc>
          <w:tcPr>
            <w:tcW w:w="4675" w:type="dxa"/>
          </w:tcPr>
          <w:p w14:paraId="70987207" w14:textId="798140C1" w:rsidR="00F52C7B" w:rsidRDefault="00F52C7B" w:rsidP="00F52C7B">
            <w:r>
              <w:t>R&lt;sub&gt;</w:t>
            </w:r>
            <w:proofErr w:type="spellStart"/>
            <w:r>
              <w:t>σμνρ</w:t>
            </w:r>
            <w:proofErr w:type="spellEnd"/>
            <w:r>
              <w:t>&lt;/sub&gt;</w:t>
            </w:r>
          </w:p>
        </w:tc>
        <w:tc>
          <w:tcPr>
            <w:tcW w:w="4675" w:type="dxa"/>
          </w:tcPr>
          <w:p w14:paraId="235B57E0" w14:textId="6E9E1BAE" w:rsidR="00F52C7B" w:rsidRDefault="00F52C7B" w:rsidP="00F52C7B">
            <w:r>
              <w:t>SPAC path frustration</w:t>
            </w:r>
          </w:p>
        </w:tc>
      </w:tr>
      <w:tr w:rsidR="00F52C7B" w:rsidRPr="00F52C7B" w14:paraId="5507535A" w14:textId="77777777" w:rsidTr="00F52C7B">
        <w:tc>
          <w:tcPr>
            <w:tcW w:w="4675" w:type="dxa"/>
          </w:tcPr>
          <w:p w14:paraId="015B43A0" w14:textId="1515970D" w:rsidR="00F52C7B" w:rsidRDefault="00F52C7B" w:rsidP="00F52C7B">
            <w:r>
              <w:t>G&lt;sub&gt;</w:t>
            </w:r>
            <w:proofErr w:type="spellStart"/>
            <w:r>
              <w:t>μν</w:t>
            </w:r>
            <w:proofErr w:type="spellEnd"/>
            <w:r>
              <w:t>&lt;/sub&gt;</w:t>
            </w:r>
          </w:p>
        </w:tc>
        <w:tc>
          <w:tcPr>
            <w:tcW w:w="4675" w:type="dxa"/>
          </w:tcPr>
          <w:p w14:paraId="253DF5B1" w14:textId="7850865E" w:rsidR="00F52C7B" w:rsidRDefault="00F52C7B" w:rsidP="00F52C7B">
            <w:r>
              <w:t>Observable gravity</w:t>
            </w:r>
          </w:p>
        </w:tc>
      </w:tr>
      <w:tr w:rsidR="00F52C7B" w:rsidRPr="00F52C7B" w14:paraId="523EAF96" w14:textId="77777777" w:rsidTr="00F52C7B">
        <w:trPr>
          <w:cnfStyle w:val="000000100000" w:firstRow="0" w:lastRow="0" w:firstColumn="0" w:lastColumn="0" w:oddVBand="0" w:evenVBand="0" w:oddHBand="1" w:evenHBand="0" w:firstRowFirstColumn="0" w:firstRowLastColumn="0" w:lastRowFirstColumn="0" w:lastRowLastColumn="0"/>
        </w:trPr>
        <w:tc>
          <w:tcPr>
            <w:tcW w:w="4675" w:type="dxa"/>
          </w:tcPr>
          <w:p w14:paraId="2117C36E" w14:textId="49E2E0D0" w:rsidR="00F52C7B" w:rsidRDefault="00F52C7B" w:rsidP="00F52C7B">
            <w:r>
              <w:t>J&lt;sub&gt;</w:t>
            </w:r>
            <w:proofErr w:type="spellStart"/>
            <w:r>
              <w:t>μν</w:t>
            </w:r>
            <w:proofErr w:type="spellEnd"/>
            <w:r>
              <w:t>&lt;/sub&gt;</w:t>
            </w:r>
          </w:p>
        </w:tc>
        <w:tc>
          <w:tcPr>
            <w:tcW w:w="4675" w:type="dxa"/>
          </w:tcPr>
          <w:p w14:paraId="27B12755" w14:textId="1FD764CE" w:rsidR="00F52C7B" w:rsidRDefault="00F52C7B" w:rsidP="00F52C7B">
            <w:r>
              <w:t>Registration source</w:t>
            </w:r>
          </w:p>
        </w:tc>
      </w:tr>
    </w:tbl>
    <w:p w14:paraId="51E8FDF9" w14:textId="77777777" w:rsidR="00F52C7B" w:rsidRDefault="00F52C7B" w:rsidP="00F52C7B">
      <w:pPr>
        <w:pStyle w:val="Heading2"/>
      </w:pPr>
      <w:r>
        <w:t>10. Minimal Tensor Axiom</w:t>
      </w:r>
    </w:p>
    <w:p w14:paraId="7F3DF127" w14:textId="77777777" w:rsidR="00F52C7B" w:rsidRDefault="00F52C7B" w:rsidP="00F52C7B">
      <w:r w:rsidRPr="00F52C7B">
        <w:t>Axiom T (SPAC Curvature): Gravitational effects arise from curvature in the SPAC registration manifold, described by a rank-2 tensor sourced by gradients in SPAC density rather than fundamental spacetime energy.</w:t>
      </w:r>
    </w:p>
    <w:p w14:paraId="7DB87F3B" w14:textId="77777777" w:rsidR="00F52C7B" w:rsidRDefault="00F52C7B" w:rsidP="00F52C7B">
      <w:pPr>
        <w:pStyle w:val="Heading2"/>
      </w:pPr>
      <w:r>
        <w:t>11. One-Line Closure</w:t>
      </w:r>
    </w:p>
    <w:p w14:paraId="42A4BB8F" w14:textId="00B0123E" w:rsidR="00F52C7B" w:rsidRPr="00F52C7B" w:rsidRDefault="00F52C7B" w:rsidP="00F52C7B">
      <w:r w:rsidRPr="00F52C7B">
        <w:t>General Relativity describes how spacetime bends; SPAC explains why it bends.</w:t>
      </w:r>
    </w:p>
    <w:p w14:paraId="61C06E85" w14:textId="3DECDB45" w:rsidR="00583FB3" w:rsidRPr="00F52C7B" w:rsidRDefault="00583FB3" w:rsidP="00F52C7B">
      <w:pPr>
        <w:pStyle w:val="Heading2"/>
      </w:pPr>
    </w:p>
    <w:sectPr w:rsidR="00583FB3" w:rsidRPr="00F52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30F8"/>
    <w:multiLevelType w:val="hybridMultilevel"/>
    <w:tmpl w:val="8A58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954E27"/>
    <w:multiLevelType w:val="hybridMultilevel"/>
    <w:tmpl w:val="F3D01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821676"/>
    <w:multiLevelType w:val="hybridMultilevel"/>
    <w:tmpl w:val="9F54D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C81A99"/>
    <w:multiLevelType w:val="hybridMultilevel"/>
    <w:tmpl w:val="23480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F22B96"/>
    <w:multiLevelType w:val="hybridMultilevel"/>
    <w:tmpl w:val="AC8CF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AF6474"/>
    <w:multiLevelType w:val="hybridMultilevel"/>
    <w:tmpl w:val="0260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93551B"/>
    <w:multiLevelType w:val="hybridMultilevel"/>
    <w:tmpl w:val="7BAC1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0737">
    <w:abstractNumId w:val="4"/>
  </w:num>
  <w:num w:numId="2" w16cid:durableId="2006323097">
    <w:abstractNumId w:val="1"/>
  </w:num>
  <w:num w:numId="3" w16cid:durableId="1476069030">
    <w:abstractNumId w:val="3"/>
  </w:num>
  <w:num w:numId="4" w16cid:durableId="1782071432">
    <w:abstractNumId w:val="6"/>
  </w:num>
  <w:num w:numId="5" w16cid:durableId="1104883239">
    <w:abstractNumId w:val="5"/>
  </w:num>
  <w:num w:numId="6" w16cid:durableId="1837762430">
    <w:abstractNumId w:val="0"/>
  </w:num>
  <w:num w:numId="7" w16cid:durableId="376129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FB3"/>
    <w:rsid w:val="00583FB3"/>
    <w:rsid w:val="0097547A"/>
    <w:rsid w:val="00F52C7B"/>
    <w:rsid w:val="00FB3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B1E2A"/>
  <w15:chartTrackingRefBased/>
  <w15:docId w15:val="{55A90CDA-23E6-4260-9CFE-314E64E4D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3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3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FB3"/>
    <w:rPr>
      <w:rFonts w:eastAsiaTheme="majorEastAsia" w:cstheme="majorBidi"/>
      <w:color w:val="272727" w:themeColor="text1" w:themeTint="D8"/>
    </w:rPr>
  </w:style>
  <w:style w:type="paragraph" w:styleId="Title">
    <w:name w:val="Title"/>
    <w:basedOn w:val="Normal"/>
    <w:next w:val="Normal"/>
    <w:link w:val="TitleChar"/>
    <w:uiPriority w:val="10"/>
    <w:qFormat/>
    <w:rsid w:val="00583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FB3"/>
    <w:pPr>
      <w:spacing w:before="160"/>
      <w:jc w:val="center"/>
    </w:pPr>
    <w:rPr>
      <w:i/>
      <w:iCs/>
      <w:color w:val="404040" w:themeColor="text1" w:themeTint="BF"/>
    </w:rPr>
  </w:style>
  <w:style w:type="character" w:customStyle="1" w:styleId="QuoteChar">
    <w:name w:val="Quote Char"/>
    <w:basedOn w:val="DefaultParagraphFont"/>
    <w:link w:val="Quote"/>
    <w:uiPriority w:val="29"/>
    <w:rsid w:val="00583FB3"/>
    <w:rPr>
      <w:i/>
      <w:iCs/>
      <w:color w:val="404040" w:themeColor="text1" w:themeTint="BF"/>
    </w:rPr>
  </w:style>
  <w:style w:type="paragraph" w:styleId="ListParagraph">
    <w:name w:val="List Paragraph"/>
    <w:basedOn w:val="Normal"/>
    <w:uiPriority w:val="34"/>
    <w:qFormat/>
    <w:rsid w:val="00583FB3"/>
    <w:pPr>
      <w:ind w:left="720"/>
      <w:contextualSpacing/>
    </w:pPr>
  </w:style>
  <w:style w:type="character" w:styleId="IntenseEmphasis">
    <w:name w:val="Intense Emphasis"/>
    <w:basedOn w:val="DefaultParagraphFont"/>
    <w:uiPriority w:val="21"/>
    <w:qFormat/>
    <w:rsid w:val="00583FB3"/>
    <w:rPr>
      <w:i/>
      <w:iCs/>
      <w:color w:val="0F4761" w:themeColor="accent1" w:themeShade="BF"/>
    </w:rPr>
  </w:style>
  <w:style w:type="paragraph" w:styleId="IntenseQuote">
    <w:name w:val="Intense Quote"/>
    <w:basedOn w:val="Normal"/>
    <w:next w:val="Normal"/>
    <w:link w:val="IntenseQuoteChar"/>
    <w:uiPriority w:val="30"/>
    <w:qFormat/>
    <w:rsid w:val="00583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FB3"/>
    <w:rPr>
      <w:i/>
      <w:iCs/>
      <w:color w:val="0F4761" w:themeColor="accent1" w:themeShade="BF"/>
    </w:rPr>
  </w:style>
  <w:style w:type="character" w:styleId="IntenseReference">
    <w:name w:val="Intense Reference"/>
    <w:basedOn w:val="DefaultParagraphFont"/>
    <w:uiPriority w:val="32"/>
    <w:qFormat/>
    <w:rsid w:val="00583FB3"/>
    <w:rPr>
      <w:b/>
      <w:bCs/>
      <w:smallCaps/>
      <w:color w:val="0F4761" w:themeColor="accent1" w:themeShade="BF"/>
      <w:spacing w:val="5"/>
    </w:rPr>
  </w:style>
  <w:style w:type="table" w:styleId="TableGrid">
    <w:name w:val="Table Grid"/>
    <w:basedOn w:val="TableNormal"/>
    <w:uiPriority w:val="39"/>
    <w:rsid w:val="00F52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52C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1031</Words>
  <Characters>5097</Characters>
  <Application>Microsoft Office Word</Application>
  <DocSecurity>0</DocSecurity>
  <Lines>463</Lines>
  <Paragraphs>2</Paragraphs>
  <ScaleCrop>false</ScaleCrop>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2</cp:revision>
  <dcterms:created xsi:type="dcterms:W3CDTF">2026-01-03T21:41:00Z</dcterms:created>
  <dcterms:modified xsi:type="dcterms:W3CDTF">2026-01-03T21:41:00Z</dcterms:modified>
</cp:coreProperties>
</file>