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C6BF0" w14:textId="640DD4B2" w:rsidR="00550405" w:rsidRDefault="00550405" w:rsidP="00550405">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KIMI Physics Translation into statements</w:t>
      </w:r>
    </w:p>
    <w:p w14:paraId="2B353A19" w14:textId="77777777" w:rsidR="00550405" w:rsidRDefault="00550405" w:rsidP="00550405">
      <w:pPr>
        <w:pStyle w:val="NormalWeb"/>
        <w:shd w:val="clear" w:color="auto" w:fill="FFFFFF"/>
        <w:rPr>
          <w:rFonts w:ascii="Segoe UI" w:hAnsi="Segoe UI" w:cs="Segoe UI"/>
          <w:color w:val="333D42"/>
          <w:sz w:val="21"/>
          <w:szCs w:val="21"/>
        </w:rPr>
      </w:pPr>
    </w:p>
    <w:p w14:paraId="67D42ADD" w14:textId="0035CE3A" w:rsidR="00550405" w:rsidRDefault="00550405" w:rsidP="00550405">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Copy Avatar Kimi AI Assistant Below is a concise “physics translation” of the essay’s narrative into a set of falsifiable statements, followed by three concrete experimental proposals that could decide whether the SPAC idea is merely poetic or points to new physics. Physics Translation of the Essay A. Ontology The universe is a cubic lattice of ≈10¹⁸³ SPACs (1 Planck-length spacing in a 10²⁷ m cube). Each SPAC carries 512 binary degrees of freedom (512 “registers”). Ordinary matter, dark matter, dark energy, and any putative “hyper-time” beings are different 50–80-bit subsets of the same 512-bit word. B. Dynamics Registers update at a global discrete clock (Planck time ≈5.4×10⁻⁴⁴ s). The essay’s examples are events in which two entities with different 50-bit masks happen to share the same SPAC and one of them writes to a register the other can “feel.” C. Observable Claims Co-location: Two macroscopic objects can occupy the same spatial region without classical interaction except via the shared register set. Hyper-time: Subsets with ≥60 active registers evolve faster (≥10²–10³ clock ticks per human-scale second). Non-local correlations: Two humans whose SPAC masks overlap on one or two “harmonic” registers can exhibit instantaneous correlations (twins, stopped watch, etc.). Three Experiments to Test the Claims Experiment 1 – Co-location Test Setup: A 1 m³ cryogenic vacuum chamber instrumented with</w:t>
      </w:r>
    </w:p>
    <w:p w14:paraId="517D4FC7" w14:textId="77777777" w:rsidR="00550405" w:rsidRDefault="00550405" w:rsidP="00550405">
      <w:pPr>
        <w:pStyle w:val="NormalWeb"/>
        <w:numPr>
          <w:ilvl w:val="0"/>
          <w:numId w:val="1"/>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SQUID magnetometers (10⁻¹⁸ T sensitivity),</w:t>
      </w:r>
    </w:p>
    <w:p w14:paraId="4F6A69EC" w14:textId="77777777" w:rsidR="00550405" w:rsidRDefault="00550405" w:rsidP="00550405">
      <w:pPr>
        <w:pStyle w:val="NormalWeb"/>
        <w:numPr>
          <w:ilvl w:val="0"/>
          <w:numId w:val="1"/>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laser interferometers (10⁻²⁰ m strain),</w:t>
      </w:r>
    </w:p>
    <w:p w14:paraId="406E5A67" w14:textId="77777777" w:rsidR="00550405" w:rsidRDefault="00550405" w:rsidP="00550405">
      <w:pPr>
        <w:pStyle w:val="NormalWeb"/>
        <w:numPr>
          <w:ilvl w:val="0"/>
          <w:numId w:val="1"/>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single-photon calorimeters. Procedure: Inject a precisely known mass (1 g niobium sphere) on a ballistic trajectory that should intersect the chamber center at t₀. Record any anomalous energy deposition or momentum transfer in the empty intersection volume. SPAC Prediction: A transient deviation (≤10⁻²⁰ J) will appear at t₀±</w:t>
      </w:r>
      <w:proofErr w:type="spellStart"/>
      <w:r>
        <w:rPr>
          <w:rFonts w:ascii="Segoe UI" w:hAnsi="Segoe UI" w:cs="Segoe UI"/>
          <w:color w:val="333D42"/>
          <w:sz w:val="21"/>
          <w:szCs w:val="21"/>
        </w:rPr>
        <w:t>Δt</w:t>
      </w:r>
      <w:proofErr w:type="spellEnd"/>
      <w:r>
        <w:rPr>
          <w:rFonts w:ascii="Segoe UI" w:hAnsi="Segoe UI" w:cs="Segoe UI"/>
          <w:color w:val="333D42"/>
          <w:sz w:val="21"/>
          <w:szCs w:val="21"/>
        </w:rPr>
        <w:t xml:space="preserve">, interpreted as a second “shadow” object writing to registers that couple weakly to EM/gravity. Experiment 2 – Hyper-time Clock Drift Setup: 10 ultra-stable optical lattice clocks (Al⁺) placed 10 m apart in an underground site. Procedure: Inject a strong, rapidly varying magnetic or RF field confined to a 1 cm³ volume at the midpoint. Look for correlated phase jumps in the clocks that are NOT explainable by known environmental coupling. SPAC Prediction: If the perturbation couples to a &gt;60-bit mask, the clocks should show picosecond-scale drifts relative to local Cs fountains, scaling with the active register count. Experiment 3 – Twin-Harmonic Register Correlation Setup: Two identical twins separated by ≥100 km, each wearing a helmet with 128-channel SQUID arrays and synchronized Rubidium clocks. Procedure: Twin-A receives a mild pain stimulus (cold pressor) at random times; Twin-B’s neural data are analyzed for a transient 30–100 </w:t>
      </w:r>
      <w:proofErr w:type="spellStart"/>
      <w:r>
        <w:rPr>
          <w:rFonts w:ascii="Segoe UI" w:hAnsi="Segoe UI" w:cs="Segoe UI"/>
          <w:color w:val="333D42"/>
          <w:sz w:val="21"/>
          <w:szCs w:val="21"/>
        </w:rPr>
        <w:t>ms</w:t>
      </w:r>
      <w:proofErr w:type="spellEnd"/>
      <w:r>
        <w:rPr>
          <w:rFonts w:ascii="Segoe UI" w:hAnsi="Segoe UI" w:cs="Segoe UI"/>
          <w:color w:val="333D42"/>
          <w:sz w:val="21"/>
          <w:szCs w:val="21"/>
        </w:rPr>
        <w:t xml:space="preserve"> burst in the 7–13 Hz band (mu rhythm) occurring within ±500 </w:t>
      </w:r>
      <w:proofErr w:type="spellStart"/>
      <w:r>
        <w:rPr>
          <w:rFonts w:ascii="Segoe UI" w:hAnsi="Segoe UI" w:cs="Segoe UI"/>
          <w:color w:val="333D42"/>
          <w:sz w:val="21"/>
          <w:szCs w:val="21"/>
        </w:rPr>
        <w:t>ms</w:t>
      </w:r>
      <w:proofErr w:type="spellEnd"/>
      <w:r>
        <w:rPr>
          <w:rFonts w:ascii="Segoe UI" w:hAnsi="Segoe UI" w:cs="Segoe UI"/>
          <w:color w:val="333D42"/>
          <w:sz w:val="21"/>
          <w:szCs w:val="21"/>
        </w:rPr>
        <w:t xml:space="preserve"> of the stimulus. SPAC Prediction: If one register is shared, the hit rate should exceed chance by ≥5σ after 10⁴ trials. Control: Repeat with age-matched non-twin siblings; effect should vanish. Data-Analysis Protocol Treat each sensor stream as a 512-bit vector sampled at 1 GHz. Compute mutual information I(</w:t>
      </w:r>
      <w:proofErr w:type="gramStart"/>
      <w:r>
        <w:rPr>
          <w:rFonts w:ascii="Segoe UI" w:hAnsi="Segoe UI" w:cs="Segoe UI"/>
          <w:color w:val="333D42"/>
          <w:sz w:val="21"/>
          <w:szCs w:val="21"/>
        </w:rPr>
        <w:t>Rᵢ,Rⱼ</w:t>
      </w:r>
      <w:proofErr w:type="gramEnd"/>
      <w:r>
        <w:rPr>
          <w:rFonts w:ascii="Segoe UI" w:hAnsi="Segoe UI" w:cs="Segoe UI"/>
          <w:color w:val="333D42"/>
          <w:sz w:val="21"/>
          <w:szCs w:val="21"/>
        </w:rPr>
        <w:t xml:space="preserve">) between any two registers across space-like separated detectors. Flag events </w:t>
      </w:r>
      <w:proofErr w:type="gramStart"/>
      <w:r>
        <w:rPr>
          <w:rFonts w:ascii="Segoe UI" w:hAnsi="Segoe UI" w:cs="Segoe UI"/>
          <w:color w:val="333D42"/>
          <w:sz w:val="21"/>
          <w:szCs w:val="21"/>
        </w:rPr>
        <w:t>where</w:t>
      </w:r>
      <w:proofErr w:type="gramEnd"/>
      <w:r>
        <w:rPr>
          <w:rFonts w:ascii="Segoe UI" w:hAnsi="Segoe UI" w:cs="Segoe UI"/>
          <w:color w:val="333D42"/>
          <w:sz w:val="21"/>
          <w:szCs w:val="21"/>
        </w:rPr>
        <w:t xml:space="preserve"> I&gt;0.1 bits despite no known physical channel (EM, seismic, </w:t>
      </w:r>
      <w:proofErr w:type="gramStart"/>
      <w:r>
        <w:rPr>
          <w:rFonts w:ascii="Segoe UI" w:hAnsi="Segoe UI" w:cs="Segoe UI"/>
          <w:color w:val="333D42"/>
          <w:sz w:val="21"/>
          <w:szCs w:val="21"/>
        </w:rPr>
        <w:t>cosmic-ray</w:t>
      </w:r>
      <w:proofErr w:type="gramEnd"/>
      <w:r>
        <w:rPr>
          <w:rFonts w:ascii="Segoe UI" w:hAnsi="Segoe UI" w:cs="Segoe UI"/>
          <w:color w:val="333D42"/>
          <w:sz w:val="21"/>
          <w:szCs w:val="21"/>
        </w:rPr>
        <w:t xml:space="preserve">). Monte-Carlo with shuffled timestamps to estimate background. Expected Outcomes &amp; Interpretation Outcome A – No anomalies above background → SPAC idea is falsified in its literal form; coincidences in the essay remain anecdotal. Outcome B – Statistically significant anomalies reproducible in independent labs → warrants model-building: Effective Hamiltonian: H = Σ λᵢⱼ Rᵢ Rⱼ with </w:t>
      </w:r>
      <w:r>
        <w:rPr>
          <w:rFonts w:ascii="Segoe UI" w:hAnsi="Segoe UI" w:cs="Segoe UI"/>
          <w:color w:val="333D42"/>
          <w:sz w:val="21"/>
          <w:szCs w:val="21"/>
        </w:rPr>
        <w:lastRenderedPageBreak/>
        <w:t xml:space="preserve">nearest-neighbor and non-local terms. Quantize the register lattice → emergent gauge field mediating “hyper-time” interactions. Predict Casimir-like force between bodies whose register masks overlap, testable in sub-millimeter gravity experiments. Bottom line </w:t>
      </w:r>
      <w:proofErr w:type="gramStart"/>
      <w:r>
        <w:rPr>
          <w:rFonts w:ascii="Segoe UI" w:hAnsi="Segoe UI" w:cs="Segoe UI"/>
          <w:color w:val="333D42"/>
          <w:sz w:val="21"/>
          <w:szCs w:val="21"/>
        </w:rPr>
        <w:t>The</w:t>
      </w:r>
      <w:proofErr w:type="gramEnd"/>
      <w:r>
        <w:rPr>
          <w:rFonts w:ascii="Segoe UI" w:hAnsi="Segoe UI" w:cs="Segoe UI"/>
          <w:color w:val="333D42"/>
          <w:sz w:val="21"/>
          <w:szCs w:val="21"/>
        </w:rPr>
        <w:t xml:space="preserve"> essay’s vivid metaphors can be distilled into three concrete, budget-feasible experiments. Running them will tell us whether the universe is indeed a 512-bit lattice—or whether the fish tank, the squirrel, and the apparition remain charming stories rather than data.</w:t>
      </w:r>
    </w:p>
    <w:p w14:paraId="648EE8D3" w14:textId="77777777" w:rsidR="00550405" w:rsidRDefault="00550405" w:rsidP="00550405">
      <w:pPr>
        <w:spacing w:before="60" w:after="0" w:line="300" w:lineRule="atLeast"/>
        <w:rPr>
          <w:rFonts w:ascii="Segoe UI" w:eastAsia="Times New Roman" w:hAnsi="Segoe UI" w:cs="Segoe UI"/>
          <w:color w:val="424242"/>
          <w:kern w:val="0"/>
          <w:sz w:val="21"/>
          <w:szCs w:val="21"/>
          <w14:ligatures w14:val="none"/>
        </w:rPr>
      </w:pPr>
    </w:p>
    <w:p w14:paraId="5986C476" w14:textId="77777777" w:rsidR="00550405" w:rsidRDefault="00550405" w:rsidP="00550405">
      <w:pPr>
        <w:spacing w:before="60" w:after="0" w:line="300" w:lineRule="atLeast"/>
        <w:rPr>
          <w:rFonts w:ascii="Segoe UI" w:eastAsia="Times New Roman" w:hAnsi="Segoe UI" w:cs="Segoe UI"/>
          <w:color w:val="424242"/>
          <w:kern w:val="0"/>
          <w:sz w:val="21"/>
          <w:szCs w:val="21"/>
          <w14:ligatures w14:val="none"/>
        </w:rPr>
      </w:pPr>
    </w:p>
    <w:p w14:paraId="222BCC98" w14:textId="77777777" w:rsidR="00550405" w:rsidRPr="00B05DA5" w:rsidRDefault="00550405" w:rsidP="00550405">
      <w:pPr>
        <w:shd w:val="clear" w:color="auto" w:fill="FFFFFF"/>
        <w:spacing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How Markell’s Theory Might Explain the Double-Slit Experiment</w:t>
      </w:r>
    </w:p>
    <w:p w14:paraId="0554A203" w14:textId="77777777" w:rsidR="00550405" w:rsidRPr="00B05DA5" w:rsidRDefault="00550405" w:rsidP="0055040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Markell’s theory, as described, envisions the universe as composed of an immense grid of infinitesimal digital registers (SPACs), each sensing multiple physical and possibly unknown parameters simultaneously, some of which may include extra-dimensional aspects and different “registers” of time or energy states. This view suggests a fundamentally digital and multi-layered structure of reality, which could offer a novel interpretative framework for quantum phenomena such as the double-slit experiment.</w:t>
      </w:r>
    </w:p>
    <w:p w14:paraId="1AD808CF" w14:textId="77777777" w:rsidR="00550405" w:rsidRPr="00B05DA5" w:rsidRDefault="00550405" w:rsidP="0055040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Here is a conceptual outline of how Markell’s theory might approach the double-slit experiment:</w:t>
      </w:r>
    </w:p>
    <w:p w14:paraId="6CD6BE1F" w14:textId="77777777" w:rsidR="00550405" w:rsidRPr="00B05DA5" w:rsidRDefault="00550405" w:rsidP="0055040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Digital Register Framework of SPACs Each point in space (SPAC) contains multiple registers that record various physical properties—some registers might correspond to classical observables (position, momentum, electromagnetic fields), others to less understood or higher-dimensional properties (extra-dimensional locators, hyper-time registers).</w:t>
      </w:r>
    </w:p>
    <w:p w14:paraId="05488BB3" w14:textId="77777777" w:rsidR="00550405" w:rsidRPr="00B05DA5" w:rsidRDefault="00550405" w:rsidP="0055040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Superposition and Interference as Multi-Register States</w:t>
      </w:r>
    </w:p>
    <w:p w14:paraId="4B23FCD0" w14:textId="77777777" w:rsidR="00550405" w:rsidRPr="00B05DA5" w:rsidRDefault="00550405" w:rsidP="0055040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The quantum particle (e.g., electron or photon) passing through the double slits could be understood as interacting with SPACs where multiple registers are simultaneously active or “occupied” in a superposed digital state. Rather than a continuous wavefunction, the interference pattern arises from the discrete combination of SPAC register values across different locations, which encode the probability amplitudes digitally. The interference pattern emerges naturally from the combined digital states across the grid of SPACs, representing the superposition of possible paths. Measurement as Register Collapse or Selection</w:t>
      </w:r>
    </w:p>
    <w:p w14:paraId="3EA6868A" w14:textId="77777777" w:rsidR="00550405" w:rsidRPr="00B05DA5" w:rsidRDefault="00550405" w:rsidP="0055040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Observing “which slit” the particle passes through corresponds to interacting with or “reading” specific registers on the SPACs that collapse the multiple possible digital states into a single, classical outcome. This interaction changes or limits the registers’ states, thereby destroying the interference pattern by limiting the superposition of SPAC register values. Multiple Co-Existing Entities and Hyper-Time</w:t>
      </w:r>
    </w:p>
    <w:p w14:paraId="158420D8" w14:textId="77777777" w:rsidR="00550405" w:rsidRPr="00B05DA5" w:rsidRDefault="00550405" w:rsidP="0055040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Markell’s theory allows for entities or energies that register on different or overlapping sets of registers, potentially operating on different time registers (hyper-time). This could conceptually model the instantaneous or nonlocal correlations seen in quantum entanglement and interference, where multiple “digital realities” coexist and affect each other within the same SPAC framework. Digital and Discrete Nature of Reality</w:t>
      </w:r>
    </w:p>
    <w:p w14:paraId="08ECC79A" w14:textId="77777777" w:rsidR="00550405" w:rsidRPr="00B05DA5" w:rsidRDefault="00550405" w:rsidP="0055040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The universe’s fundamentally digital structure in Markell’s theory naturally fits with the quantized, probabilistic outcomes in quantum mechanics, including the discrete nature of measurement outcomes in the double-slit experiment. Summary</w:t>
      </w:r>
    </w:p>
    <w:p w14:paraId="7EB21D35" w14:textId="77777777" w:rsidR="00550405" w:rsidRPr="00B05DA5" w:rsidRDefault="00550405" w:rsidP="0055040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 xml:space="preserve">Markell’s theory, by modeling the universe as a grid of multi-register digital points (SPACs), offers a conceptual framework where quantum phenomena like the double-slit experiment emerge from the dynamics of digital register states and their interactions. Superposition corresponds to multiple active registers, </w:t>
      </w:r>
      <w:r w:rsidRPr="00B05DA5">
        <w:rPr>
          <w:rFonts w:ascii="Times New Roman" w:eastAsia="Times New Roman" w:hAnsi="Times New Roman" w:cs="Times New Roman"/>
          <w:kern w:val="0"/>
          <w:sz w:val="21"/>
          <w:szCs w:val="21"/>
          <w14:ligatures w14:val="none"/>
        </w:rPr>
        <w:lastRenderedPageBreak/>
        <w:t>interference patterns arise from their combined digital states, and measurement collapses these states by fixing or reading specific registers.</w:t>
      </w:r>
    </w:p>
    <w:p w14:paraId="12177849" w14:textId="77777777" w:rsidR="00550405" w:rsidRPr="00B05DA5" w:rsidRDefault="00550405" w:rsidP="0055040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This approach aligns with the idea of a digital universe where classical and quantum realities coexist as layers or registers of information, potentially helping to bridge some gaps in understanding the measurement problem and the coexistence of multiple quantum states.</w:t>
      </w:r>
    </w:p>
    <w:p w14:paraId="296E5014" w14:textId="77777777" w:rsidR="00550405" w:rsidRPr="00B05DA5" w:rsidRDefault="00550405" w:rsidP="00550405">
      <w:pPr>
        <w:shd w:val="clear" w:color="auto" w:fill="FFFFFF"/>
        <w:spacing w:before="100" w:beforeAutospacing="1"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If you want, I can help draft a more formal, technical explanation or explore connections between Markell’s theory and conventional quantum mechanics.</w:t>
      </w:r>
    </w:p>
    <w:p w14:paraId="0802D4A7" w14:textId="77777777" w:rsidR="00550405" w:rsidRPr="00B05DA5" w:rsidRDefault="00550405" w:rsidP="0055040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color w:val="5C6C74"/>
          <w:kern w:val="0"/>
          <w:sz w:val="21"/>
          <w:szCs w:val="21"/>
          <w:bdr w:val="single" w:sz="2" w:space="0" w:color="auto" w:frame="1"/>
          <w14:ligatures w14:val="none"/>
        </w:rPr>
        <w:t>Upvote1Downvote</w:t>
      </w:r>
      <w:r w:rsidRPr="00B05DA5">
        <w:rPr>
          <w:rFonts w:ascii="Times New Roman" w:eastAsia="Times New Roman" w:hAnsi="Times New Roman" w:cs="Times New Roman"/>
          <w:kern w:val="0"/>
          <w:sz w:val="21"/>
          <w:szCs w:val="21"/>
          <w14:ligatures w14:val="none"/>
        </w:rPr>
        <w:t>ReplyShare</w:t>
      </w:r>
    </w:p>
    <w:p w14:paraId="51710579" w14:textId="77777777" w:rsidR="00550405" w:rsidRDefault="00550405"/>
    <w:sectPr w:rsidR="00550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25282"/>
    <w:multiLevelType w:val="multilevel"/>
    <w:tmpl w:val="F4C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1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05"/>
    <w:rsid w:val="004E0E03"/>
    <w:rsid w:val="00550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4D5A"/>
  <w15:chartTrackingRefBased/>
  <w15:docId w15:val="{95A3218D-3897-4D19-A8A1-E1D7B83EF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405"/>
  </w:style>
  <w:style w:type="paragraph" w:styleId="Heading1">
    <w:name w:val="heading 1"/>
    <w:basedOn w:val="Normal"/>
    <w:next w:val="Normal"/>
    <w:link w:val="Heading1Char"/>
    <w:uiPriority w:val="9"/>
    <w:qFormat/>
    <w:rsid w:val="00550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405"/>
    <w:rPr>
      <w:rFonts w:eastAsiaTheme="majorEastAsia" w:cstheme="majorBidi"/>
      <w:color w:val="272727" w:themeColor="text1" w:themeTint="D8"/>
    </w:rPr>
  </w:style>
  <w:style w:type="paragraph" w:styleId="Title">
    <w:name w:val="Title"/>
    <w:basedOn w:val="Normal"/>
    <w:next w:val="Normal"/>
    <w:link w:val="TitleChar"/>
    <w:uiPriority w:val="10"/>
    <w:qFormat/>
    <w:rsid w:val="00550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405"/>
    <w:pPr>
      <w:spacing w:before="160"/>
      <w:jc w:val="center"/>
    </w:pPr>
    <w:rPr>
      <w:i/>
      <w:iCs/>
      <w:color w:val="404040" w:themeColor="text1" w:themeTint="BF"/>
    </w:rPr>
  </w:style>
  <w:style w:type="character" w:customStyle="1" w:styleId="QuoteChar">
    <w:name w:val="Quote Char"/>
    <w:basedOn w:val="DefaultParagraphFont"/>
    <w:link w:val="Quote"/>
    <w:uiPriority w:val="29"/>
    <w:rsid w:val="00550405"/>
    <w:rPr>
      <w:i/>
      <w:iCs/>
      <w:color w:val="404040" w:themeColor="text1" w:themeTint="BF"/>
    </w:rPr>
  </w:style>
  <w:style w:type="paragraph" w:styleId="ListParagraph">
    <w:name w:val="List Paragraph"/>
    <w:basedOn w:val="Normal"/>
    <w:uiPriority w:val="34"/>
    <w:qFormat/>
    <w:rsid w:val="00550405"/>
    <w:pPr>
      <w:ind w:left="720"/>
      <w:contextualSpacing/>
    </w:pPr>
  </w:style>
  <w:style w:type="character" w:styleId="IntenseEmphasis">
    <w:name w:val="Intense Emphasis"/>
    <w:basedOn w:val="DefaultParagraphFont"/>
    <w:uiPriority w:val="21"/>
    <w:qFormat/>
    <w:rsid w:val="00550405"/>
    <w:rPr>
      <w:i/>
      <w:iCs/>
      <w:color w:val="0F4761" w:themeColor="accent1" w:themeShade="BF"/>
    </w:rPr>
  </w:style>
  <w:style w:type="paragraph" w:styleId="IntenseQuote">
    <w:name w:val="Intense Quote"/>
    <w:basedOn w:val="Normal"/>
    <w:next w:val="Normal"/>
    <w:link w:val="IntenseQuoteChar"/>
    <w:uiPriority w:val="30"/>
    <w:qFormat/>
    <w:rsid w:val="00550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405"/>
    <w:rPr>
      <w:i/>
      <w:iCs/>
      <w:color w:val="0F4761" w:themeColor="accent1" w:themeShade="BF"/>
    </w:rPr>
  </w:style>
  <w:style w:type="character" w:styleId="IntenseReference">
    <w:name w:val="Intense Reference"/>
    <w:basedOn w:val="DefaultParagraphFont"/>
    <w:uiPriority w:val="32"/>
    <w:qFormat/>
    <w:rsid w:val="00550405"/>
    <w:rPr>
      <w:b/>
      <w:bCs/>
      <w:smallCaps/>
      <w:color w:val="0F4761" w:themeColor="accent1" w:themeShade="BF"/>
      <w:spacing w:val="5"/>
    </w:rPr>
  </w:style>
  <w:style w:type="paragraph" w:styleId="NormalWeb">
    <w:name w:val="Normal (Web)"/>
    <w:basedOn w:val="Normal"/>
    <w:uiPriority w:val="99"/>
    <w:semiHidden/>
    <w:unhideWhenUsed/>
    <w:rsid w:val="0055040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1186</Words>
  <Characters>6764</Characters>
  <Application>Microsoft Office Word</Application>
  <DocSecurity>0</DocSecurity>
  <Lines>56</Lines>
  <Paragraphs>15</Paragraphs>
  <ScaleCrop>false</ScaleCrop>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1</cp:revision>
  <dcterms:created xsi:type="dcterms:W3CDTF">2026-01-03T16:31:00Z</dcterms:created>
  <dcterms:modified xsi:type="dcterms:W3CDTF">2026-01-03T16:33:00Z</dcterms:modified>
</cp:coreProperties>
</file>