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 macOS handover</w:t>
      </w:r>
    </w:p>
    <w:p>
      <w:pPr>
        <w:pStyle w:val="Subtitle"/>
      </w:pPr>
      <w:r>
        <w:t>Prepared for Joe Smith and Fiduci Group</w:t>
        <w:br/>
        <w:t>15 October 2026  ·  Version 0.3.2  ·  Source build 6</w:t>
      </w:r>
    </w:p>
    <w:p>
      <w:r>
        <w:t>Your third film is now part of the macOS source package. The original Room, Designer and artwork remain in place. This document records what is included, what the checks establish, and what still needs to happen before this can be called a finished release.</w:t>
      </w:r>
    </w:p>
    <w:p>
      <w:r>
        <w:drawing>
          <wp:inline xmlns:a="http://schemas.openxmlformats.org/drawingml/2006/main" xmlns:pic="http://schemas.openxmlformats.org/drawingml/2006/picture">
            <wp:extent cx="6309360" cy="3549015"/>
            <wp:docPr id="1" name="Picture 1" descr="A frame from the third uploaded Quant film showing a vinyl record over a planet beneath a star field."/>
            <wp:cNvGraphicFramePr>
              <a:graphicFrameLocks noChangeAspect="1"/>
            </wp:cNvGraphicFramePr>
            <a:graphic>
              <a:graphicData uri="http://schemas.openxmlformats.org/drawingml/2006/picture">
                <pic:pic>
                  <pic:nvPicPr>
                    <pic:cNvPr id="0" name="third-film-frame.png"/>
                    <pic:cNvPicPr/>
                  </pic:nvPicPr>
                  <pic:blipFill>
                    <a:blip r:embed="rId11"/>
                    <a:stretch>
                      <a:fillRect/>
                    </a:stretch>
                  </pic:blipFill>
                  <pic:spPr>
                    <a:xfrm>
                      <a:off x="0" y="0"/>
                      <a:ext cx="6309360" cy="3549015"/>
                    </a:xfrm>
                    <a:prstGeom prst="rect"/>
                  </pic:spPr>
                </pic:pic>
              </a:graphicData>
            </a:graphic>
          </wp:inline>
        </w:drawing>
      </w:r>
    </w:p>
    <w:p>
      <w:pPr>
        <w:pStyle w:val="Caption"/>
      </w:pPr>
      <w:r>
        <w:t>A frame from your third opening film. The video itself is bundled unchanged.</w:t>
      </w:r>
    </w:p>
    <w:p>
      <w:pPr>
        <w:pStyle w:val="Heading2"/>
      </w:pPr>
      <w:r>
        <w:t>The opening films</w:t>
      </w:r>
    </w:p>
    <w:p>
      <w:r>
        <w:t>Each launch selects one of three local films. Playback is muted and can be dismissed with Enter Quant or Escape. An error or timeout also returns to the Room; reduced-motion preferences skip the film. The new file is 10.005 seconds long, 1280 × 720 at 24 fps, with H.264 video and AAC stereo audio.</w:t>
      </w:r>
    </w:p>
    <w:p>
      <w:pPr>
        <w:pStyle w:val="Heading2"/>
      </w:pPr>
      <w:r>
        <w:t>The release status</w:t>
      </w:r>
    </w:p>
    <w:p>
      <w:r>
        <w:t>The source and media checks pass. A compiled app, native visual acceptance, Apple Developer ID signing and notarization are still outstanding. Joe Smith and Fiduci Group are credited in the app; those labels do not establish certificate ownership. The full MQB product vision is not yet implemented.</w:t>
      </w:r>
    </w:p>
    <w:p>
      <w:r>
        <w:br w:type="page"/>
      </w:r>
    </w:p>
    <w:p>
      <w:pPr>
        <w:pStyle w:val="Heading1"/>
      </w:pPr>
      <w:r>
        <w:t>What the current source contains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tcMar>
              <w:top w:w="95" w:type="dxa"/>
              <w:bottom w:w="95" w:type="dxa"/>
              <w:left w:w="95" w:type="dxa"/>
              <w:right w:w="95" w:type="dxa"/>
            </w:tcMar>
            <w:shd w:fill="333333"/>
          </w:tcPr>
          <w:p>
            <w:pPr>
              <w:spacing w:after="20" w:line="254" w:lineRule="auto"/>
            </w:pPr>
            <w:r>
              <w:rPr>
                <w:b/>
                <w:color w:val="FFFFFF"/>
                <w:sz w:val="20"/>
              </w:rPr>
              <w:t>Area</w:t>
            </w:r>
          </w:p>
        </w:tc>
        <w:tc>
          <w:tcPr>
            <w:tcW w:type="dxa" w:w="7848"/>
            <w:vAlign w:val="center"/>
            <w:tcMar>
              <w:top w:w="95" w:type="dxa"/>
              <w:bottom w:w="95" w:type="dxa"/>
              <w:left w:w="95" w:type="dxa"/>
              <w:right w:w="95" w:type="dxa"/>
            </w:tcMar>
            <w:shd w:fill="333333"/>
          </w:tcPr>
          <w:p>
            <w:pPr>
              <w:spacing w:after="20" w:line="254" w:lineRule="auto"/>
            </w:pPr>
            <w:r>
              <w:rPr>
                <w:b/>
                <w:color w:val="FFFFFF"/>
                <w:sz w:val="20"/>
              </w:rPr>
              <w:t>Present in the source</w:t>
            </w:r>
          </w:p>
        </w:tc>
      </w:tr>
      <w:tr>
        <w:trPr>
          <w:cantSplit/>
        </w:trPr>
        <w:tc>
          <w:tcPr>
            <w:tcW w:type="dxa" w:w="2088"/>
            <w:vAlign w:val="center"/>
            <w:tcMar>
              <w:top w:w="95" w:type="dxa"/>
              <w:bottom w:w="95" w:type="dxa"/>
              <w:left w:w="95" w:type="dxa"/>
              <w:right w:w="95" w:type="dxa"/>
            </w:tcMar>
            <w:shd w:fill="FFFFFF"/>
          </w:tcPr>
          <w:p>
            <w:pPr>
              <w:spacing w:after="20" w:line="254" w:lineRule="auto"/>
            </w:pPr>
            <w:r>
              <w:rPr>
                <w:b w:val="0"/>
                <w:color w:val="000000"/>
                <w:sz w:val="20"/>
              </w:rPr>
              <w:t>Room and conversation</w:t>
            </w:r>
          </w:p>
        </w:tc>
        <w:tc>
          <w:tcPr>
            <w:tcW w:type="dxa" w:w="7848"/>
            <w:vAlign w:val="center"/>
            <w:tcMar>
              <w:top w:w="95" w:type="dxa"/>
              <w:bottom w:w="95" w:type="dxa"/>
              <w:left w:w="95" w:type="dxa"/>
              <w:right w:w="95" w:type="dxa"/>
            </w:tcMar>
            <w:shd w:fill="FFFFFF"/>
          </w:tcPr>
          <w:p>
            <w:pPr>
              <w:spacing w:after="20" w:line="254" w:lineRule="auto"/>
            </w:pPr>
            <w:r>
              <w:rPr>
                <w:b w:val="0"/>
                <w:color w:val="000000"/>
                <w:sz w:val="20"/>
              </w:rPr>
              <w:t>Original local interface and symbolic Anything resident, grounded replies, source references and uncertainty when context is insufficient.</w:t>
            </w:r>
          </w:p>
        </w:tc>
      </w:tr>
      <w:tr>
        <w:trPr>
          <w:cantSplit/>
        </w:trPr>
        <w:tc>
          <w:tcPr>
            <w:tcW w:type="dxa" w:w="2088"/>
            <w:vAlign w:val="center"/>
            <w:tcMar>
              <w:top w:w="95" w:type="dxa"/>
              <w:bottom w:w="95" w:type="dxa"/>
              <w:left w:w="95" w:type="dxa"/>
              <w:right w:w="95" w:type="dxa"/>
            </w:tcMar>
            <w:shd w:fill="F4F4F4"/>
          </w:tcPr>
          <w:p>
            <w:pPr>
              <w:spacing w:after="20" w:line="254" w:lineRule="auto"/>
            </w:pPr>
            <w:r>
              <w:rPr>
                <w:b w:val="0"/>
                <w:color w:val="000000"/>
                <w:sz w:val="20"/>
              </w:rPr>
              <w:t>Books and Context</w:t>
            </w:r>
          </w:p>
        </w:tc>
        <w:tc>
          <w:tcPr>
            <w:tcW w:type="dxa" w:w="7848"/>
            <w:vAlign w:val="center"/>
            <w:tcMar>
              <w:top w:w="95" w:type="dxa"/>
              <w:bottom w:w="95" w:type="dxa"/>
              <w:left w:w="95" w:type="dxa"/>
              <w:right w:w="95" w:type="dxa"/>
            </w:tcMar>
            <w:shd w:fill="F4F4F4"/>
          </w:tcPr>
          <w:p>
            <w:pPr>
              <w:spacing w:after="20" w:line="254" w:lineRule="auto"/>
            </w:pPr>
            <w:r>
              <w:rPr>
                <w:b w:val="0"/>
                <w:color w:val="000000"/>
                <w:sz w:val="20"/>
              </w:rPr>
              <w:t>Up to 32 active Books and three Contexts, imports, editable notes and selected-source rebinding. Three starter Books are supplied.</w:t>
            </w:r>
          </w:p>
        </w:tc>
      </w:tr>
      <w:tr>
        <w:trPr>
          <w:cantSplit/>
        </w:trPr>
        <w:tc>
          <w:tcPr>
            <w:tcW w:type="dxa" w:w="2088"/>
            <w:vAlign w:val="center"/>
            <w:tcMar>
              <w:top w:w="95" w:type="dxa"/>
              <w:bottom w:w="95" w:type="dxa"/>
              <w:left w:w="95" w:type="dxa"/>
              <w:right w:w="95" w:type="dxa"/>
            </w:tcMar>
            <w:shd w:fill="FFFFFF"/>
          </w:tcPr>
          <w:p>
            <w:pPr>
              <w:spacing w:after="20" w:line="254" w:lineRule="auto"/>
            </w:pPr>
            <w:r>
              <w:rPr>
                <w:b w:val="0"/>
                <w:color w:val="000000"/>
                <w:sz w:val="20"/>
              </w:rPr>
              <w:t>Artifacts and portability</w:t>
            </w:r>
          </w:p>
        </w:tc>
        <w:tc>
          <w:tcPr>
            <w:tcW w:type="dxa" w:w="7848"/>
            <w:vAlign w:val="center"/>
            <w:tcMar>
              <w:top w:w="95" w:type="dxa"/>
              <w:bottom w:w="95" w:type="dxa"/>
              <w:left w:w="95" w:type="dxa"/>
              <w:right w:w="95" w:type="dxa"/>
            </w:tcMar>
            <w:shd w:fill="FFFFFF"/>
          </w:tcPr>
          <w:p>
            <w:pPr>
              <w:spacing w:after="20" w:line="254" w:lineRule="auto"/>
            </w:pPr>
            <w:r>
              <w:rPr>
                <w:b w:val="0"/>
                <w:color w:val="000000"/>
                <w:sz w:val="20"/>
              </w:rPr>
              <w:t>Keep answers or notes, export checked Books and terrain, save conversations and portable Room snapshots, and restore saved Rooms.</w:t>
            </w:r>
          </w:p>
        </w:tc>
      </w:tr>
      <w:tr>
        <w:trPr>
          <w:cantSplit/>
        </w:trPr>
        <w:tc>
          <w:tcPr>
            <w:tcW w:type="dxa" w:w="2088"/>
            <w:vAlign w:val="center"/>
            <w:tcMar>
              <w:top w:w="95" w:type="dxa"/>
              <w:bottom w:w="95" w:type="dxa"/>
              <w:left w:w="95" w:type="dxa"/>
              <w:right w:w="95" w:type="dxa"/>
            </w:tcMar>
            <w:shd w:fill="F4F4F4"/>
          </w:tcPr>
          <w:p>
            <w:pPr>
              <w:spacing w:after="20" w:line="254" w:lineRule="auto"/>
            </w:pPr>
            <w:r>
              <w:rPr>
                <w:b w:val="0"/>
                <w:color w:val="000000"/>
                <w:sz w:val="20"/>
              </w:rPr>
              <w:t>Observatory and Designer</w:t>
            </w:r>
          </w:p>
        </w:tc>
        <w:tc>
          <w:tcPr>
            <w:tcW w:type="dxa" w:w="7848"/>
            <w:vAlign w:val="center"/>
            <w:tcMar>
              <w:top w:w="95" w:type="dxa"/>
              <w:bottom w:w="95" w:type="dxa"/>
              <w:left w:w="95" w:type="dxa"/>
              <w:right w:w="95" w:type="dxa"/>
            </w:tcMar>
            <w:shd w:fill="F4F4F4"/>
          </w:tcPr>
          <w:p>
            <w:pPr>
              <w:spacing w:after="20" w:line="254" w:lineRule="auto"/>
            </w:pPr>
            <w:r>
              <w:rPr>
                <w:b w:val="0"/>
                <w:color w:val="000000"/>
                <w:sz w:val="20"/>
              </w:rPr>
              <w:t>Resident reasoning display, local design briefs, artwork previews and starter selection cards. Studio is not an image renderer.</w:t>
            </w:r>
          </w:p>
        </w:tc>
      </w:tr>
      <w:tr>
        <w:trPr>
          <w:cantSplit/>
        </w:trPr>
        <w:tc>
          <w:tcPr>
            <w:tcW w:type="dxa" w:w="2088"/>
            <w:vAlign w:val="center"/>
            <w:tcMar>
              <w:top w:w="95" w:type="dxa"/>
              <w:bottom w:w="95" w:type="dxa"/>
              <w:left w:w="95" w:type="dxa"/>
              <w:right w:w="95" w:type="dxa"/>
            </w:tcMar>
            <w:shd w:fill="FFFFFF"/>
          </w:tcPr>
          <w:p>
            <w:pPr>
              <w:spacing w:after="20" w:line="254" w:lineRule="auto"/>
            </w:pPr>
            <w:r>
              <w:rPr>
                <w:b w:val="0"/>
                <w:color w:val="000000"/>
                <w:sz w:val="20"/>
              </w:rPr>
              <w:t>Browser</w:t>
            </w:r>
          </w:p>
        </w:tc>
        <w:tc>
          <w:tcPr>
            <w:tcW w:type="dxa" w:w="7848"/>
            <w:vAlign w:val="center"/>
            <w:tcMar>
              <w:top w:w="95" w:type="dxa"/>
              <w:bottom w:w="95" w:type="dxa"/>
              <w:left w:w="95" w:type="dxa"/>
              <w:right w:w="95" w:type="dxa"/>
            </w:tcMar>
            <w:shd w:fill="FFFFFF"/>
          </w:tcPr>
          <w:p>
            <w:pPr>
              <w:spacing w:after="20" w:line="254" w:lineRule="auto"/>
            </w:pPr>
            <w:r>
              <w:rPr>
                <w:b w:val="0"/>
                <w:color w:val="000000"/>
                <w:sz w:val="20"/>
              </w:rPr>
              <w:t>Starts off. Native HTTPS GET retrieves a response as data; readable text can be displayed or rebuilt into one of four Quant layouts.</w:t>
            </w:r>
          </w:p>
        </w:tc>
      </w:tr>
      <w:tr>
        <w:trPr>
          <w:cantSplit/>
        </w:trPr>
        <w:tc>
          <w:tcPr>
            <w:tcW w:type="dxa" w:w="2088"/>
            <w:vAlign w:val="center"/>
            <w:tcMar>
              <w:top w:w="95" w:type="dxa"/>
              <w:bottom w:w="95" w:type="dxa"/>
              <w:left w:w="95" w:type="dxa"/>
              <w:right w:w="95" w:type="dxa"/>
            </w:tcMar>
            <w:shd w:fill="F4F4F4"/>
          </w:tcPr>
          <w:p>
            <w:pPr>
              <w:spacing w:after="20" w:line="254" w:lineRule="auto"/>
            </w:pPr>
            <w:r>
              <w:rPr>
                <w:b w:val="0"/>
                <w:color w:val="000000"/>
                <w:sz w:val="20"/>
              </w:rPr>
              <w:t>Website rendering</w:t>
            </w:r>
          </w:p>
        </w:tc>
        <w:tc>
          <w:tcPr>
            <w:tcW w:type="dxa" w:w="7848"/>
            <w:vAlign w:val="center"/>
            <w:tcMar>
              <w:top w:w="95" w:type="dxa"/>
              <w:bottom w:w="95" w:type="dxa"/>
              <w:left w:w="95" w:type="dxa"/>
              <w:right w:w="95" w:type="dxa"/>
            </w:tcMar>
            <w:shd w:fill="F4F4F4"/>
          </w:tcPr>
          <w:p>
            <w:pPr>
              <w:spacing w:after="20" w:line="254" w:lineRule="auto"/>
            </w:pPr>
            <w:r>
              <w:rPr>
                <w:b w:val="0"/>
                <w:color w:val="000000"/>
                <w:sz w:val="20"/>
              </w:rPr>
              <w:t>A separate choice enables restricted design rendering. Page JavaScript starts off; an explicit page choice permits bounded inline scripts. External scripts remain excluded.</w:t>
            </w:r>
          </w:p>
        </w:tc>
      </w:tr>
    </w:tbl>
    <w:p>
      <w:pPr>
        <w:spacing w:after="0"/>
      </w:pPr>
    </w:p>
    <w:p>
      <w:pPr>
        <w:pStyle w:val="Heading2"/>
      </w:pPr>
      <w:r>
        <w:t>How the pieces connect</w:t>
      </w:r>
    </w:p>
    <w:p>
      <w:r>
        <w:t>You choose local files through the system picker. Quant works on copies in the Room. Selected Books and Context feed the original resident; its replies carry source references. Room state is intended to persist locally, and portable exports provide a separate copy that you choose where to save.</w:t>
      </w:r>
    </w:p>
    <w:p>
      <w:r>
        <w:t>The browser receives web responses separately from the local Room. Website content does not automatically enter Quant memory. Local Room and Studio scripts are bundled app code; they must run for the interface to work. The JavaScript choice concerns website scripts.</w:t>
      </w:r>
    </w:p>
    <w:p>
      <w:pPr>
        <w:pStyle w:val="Heading2"/>
      </w:pPr>
      <w:r>
        <w:t>Boundaries that matter</w:t>
      </w:r>
    </w:p>
    <w:p>
      <w:r>
        <w:t>The original resident remains bounded at 800 Book relations and 24,000 terrain relations. Supporting 32 selected Books does not retain every possible relation in large documents. The host app has a network-client entitlement for its browser, so this is not an OS-enforced, network-disabled model process. Local Room storage is not separately encrypted by Quant.</w:t>
      </w:r>
    </w:p>
    <w:p>
      <w:r>
        <w:br w:type="page"/>
      </w:r>
    </w:p>
    <w:p>
      <w:pPr>
        <w:pStyle w:val="Heading1"/>
      </w:pPr>
      <w:r>
        <w:t>Evidence and remaining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28"/>
        <w:gridCol w:w="5976"/>
      </w:tblGrid>
      <w:tr>
        <w:trPr>
          <w:cantSplit/>
          <w:tblHeader/>
        </w:trPr>
        <w:tc>
          <w:tcPr>
            <w:tcW w:type="dxa" w:w="2232"/>
            <w:vAlign w:val="center"/>
            <w:tcMar>
              <w:top w:w="95" w:type="dxa"/>
              <w:bottom w:w="95" w:type="dxa"/>
              <w:left w:w="95" w:type="dxa"/>
              <w:right w:w="95" w:type="dxa"/>
            </w:tcMar>
            <w:shd w:fill="333333"/>
          </w:tcPr>
          <w:p>
            <w:pPr>
              <w:spacing w:after="20" w:line="254" w:lineRule="auto"/>
            </w:pPr>
            <w:r>
              <w:rPr>
                <w:b/>
                <w:color w:val="FFFFFF"/>
                <w:sz w:val="20"/>
              </w:rPr>
              <w:t>Check</w:t>
            </w:r>
          </w:p>
        </w:tc>
        <w:tc>
          <w:tcPr>
            <w:tcW w:type="dxa" w:w="1728"/>
            <w:vAlign w:val="center"/>
            <w:tcMar>
              <w:top w:w="95" w:type="dxa"/>
              <w:bottom w:w="95" w:type="dxa"/>
              <w:left w:w="95" w:type="dxa"/>
              <w:right w:w="95" w:type="dxa"/>
            </w:tcMar>
            <w:shd w:fill="333333"/>
          </w:tcPr>
          <w:p>
            <w:pPr>
              <w:spacing w:after="20" w:line="254" w:lineRule="auto"/>
            </w:pPr>
            <w:r>
              <w:rPr>
                <w:b/>
                <w:color w:val="FFFFFF"/>
                <w:sz w:val="20"/>
              </w:rPr>
              <w:t>Result</w:t>
            </w:r>
          </w:p>
        </w:tc>
        <w:tc>
          <w:tcPr>
            <w:tcW w:type="dxa" w:w="5976"/>
            <w:vAlign w:val="center"/>
            <w:tcMar>
              <w:top w:w="95" w:type="dxa"/>
              <w:bottom w:w="95" w:type="dxa"/>
              <w:left w:w="95" w:type="dxa"/>
              <w:right w:w="95" w:type="dxa"/>
            </w:tcMar>
            <w:shd w:fill="333333"/>
          </w:tcPr>
          <w:p>
            <w:pPr>
              <w:spacing w:after="20" w:line="254" w:lineRule="auto"/>
            </w:pPr>
            <w:r>
              <w:rPr>
                <w:b/>
                <w:color w:val="FFFFFF"/>
                <w:sz w:val="20"/>
              </w:rPr>
              <w:t>What was exercised</w:t>
            </w:r>
          </w:p>
        </w:tc>
      </w:tr>
      <w:tr>
        <w:trPr>
          <w:cantSplit/>
        </w:trPr>
        <w:tc>
          <w:tcPr>
            <w:tcW w:type="dxa" w:w="2232"/>
            <w:vAlign w:val="center"/>
            <w:tcMar>
              <w:top w:w="95" w:type="dxa"/>
              <w:bottom w:w="95" w:type="dxa"/>
              <w:left w:w="95" w:type="dxa"/>
              <w:right w:w="95" w:type="dxa"/>
            </w:tcMar>
            <w:shd w:fill="FFFFFF"/>
          </w:tcPr>
          <w:p>
            <w:pPr>
              <w:spacing w:after="20" w:line="254" w:lineRule="auto"/>
            </w:pPr>
            <w:r>
              <w:rPr>
                <w:b w:val="0"/>
                <w:color w:val="000000"/>
                <w:sz w:val="20"/>
              </w:rPr>
              <w:t>Books workflow</w:t>
            </w:r>
          </w:p>
        </w:tc>
        <w:tc>
          <w:tcPr>
            <w:tcW w:type="dxa" w:w="1728"/>
            <w:vAlign w:val="center"/>
            <w:tcMar>
              <w:top w:w="95" w:type="dxa"/>
              <w:bottom w:w="95" w:type="dxa"/>
              <w:left w:w="95" w:type="dxa"/>
              <w:right w:w="95" w:type="dxa"/>
            </w:tcMar>
            <w:shd w:fill="FFFFFF"/>
          </w:tcPr>
          <w:p>
            <w:pPr>
              <w:spacing w:after="20" w:line="254" w:lineRule="auto"/>
            </w:pPr>
            <w:r>
              <w:rPr>
                <w:b w:val="0"/>
                <w:color w:val="000000"/>
                <w:sz w:val="20"/>
              </w:rPr>
              <w:t>13 passed</w:t>
            </w:r>
          </w:p>
        </w:tc>
        <w:tc>
          <w:tcPr>
            <w:tcW w:type="dxa" w:w="5976"/>
            <w:vAlign w:val="center"/>
            <w:tcMar>
              <w:top w:w="95" w:type="dxa"/>
              <w:bottom w:w="95" w:type="dxa"/>
              <w:left w:w="95" w:type="dxa"/>
              <w:right w:w="95" w:type="dxa"/>
            </w:tcMar>
            <w:shd w:fill="FFFFFF"/>
          </w:tcPr>
          <w:p>
            <w:pPr>
              <w:spacing w:after="20" w:line="254" w:lineRule="auto"/>
            </w:pPr>
            <w:r>
              <w:rPr>
                <w:b w:val="0"/>
                <w:color w:val="000000"/>
                <w:sz w:val="20"/>
              </w:rPr>
              <w:t>Selection, import, source rebinding and portable JSON save/load with DOM stand-ins.</w:t>
            </w:r>
          </w:p>
        </w:tc>
      </w:tr>
      <w:tr>
        <w:trPr>
          <w:cantSplit/>
        </w:trPr>
        <w:tc>
          <w:tcPr>
            <w:tcW w:type="dxa" w:w="2232"/>
            <w:vAlign w:val="center"/>
            <w:tcMar>
              <w:top w:w="95" w:type="dxa"/>
              <w:bottom w:w="95" w:type="dxa"/>
              <w:left w:w="95" w:type="dxa"/>
              <w:right w:w="95" w:type="dxa"/>
            </w:tcMar>
            <w:shd w:fill="F4F4F4"/>
          </w:tcPr>
          <w:p>
            <w:pPr>
              <w:spacing w:after="20" w:line="254" w:lineRule="auto"/>
            </w:pPr>
            <w:r>
              <w:rPr>
                <w:b w:val="0"/>
                <w:color w:val="000000"/>
                <w:sz w:val="20"/>
              </w:rPr>
              <w:t>Resident engine</w:t>
            </w:r>
          </w:p>
        </w:tc>
        <w:tc>
          <w:tcPr>
            <w:tcW w:type="dxa" w:w="1728"/>
            <w:vAlign w:val="center"/>
            <w:tcMar>
              <w:top w:w="95" w:type="dxa"/>
              <w:bottom w:w="95" w:type="dxa"/>
              <w:left w:w="95" w:type="dxa"/>
              <w:right w:w="95" w:type="dxa"/>
            </w:tcMar>
            <w:shd w:fill="F4F4F4"/>
          </w:tcPr>
          <w:p>
            <w:pPr>
              <w:spacing w:after="20" w:line="254" w:lineRule="auto"/>
            </w:pPr>
            <w:r>
              <w:rPr>
                <w:b w:val="0"/>
                <w:color w:val="000000"/>
                <w:sz w:val="20"/>
              </w:rPr>
              <w:t>5 passed</w:t>
            </w:r>
          </w:p>
        </w:tc>
        <w:tc>
          <w:tcPr>
            <w:tcW w:type="dxa" w:w="5976"/>
            <w:vAlign w:val="center"/>
            <w:tcMar>
              <w:top w:w="95" w:type="dxa"/>
              <w:bottom w:w="95" w:type="dxa"/>
              <w:left w:w="95" w:type="dxa"/>
              <w:right w:w="95" w:type="dxa"/>
            </w:tcMar>
            <w:shd w:fill="F4F4F4"/>
          </w:tcPr>
          <w:p>
            <w:pPr>
              <w:spacing w:after="20" w:line="254" w:lineRule="auto"/>
            </w:pPr>
            <w:r>
              <w:rPr>
                <w:b w:val="0"/>
                <w:color w:val="000000"/>
                <w:sz w:val="20"/>
              </w:rPr>
              <w:t>Grounding, provenance, restoration, Book roundtrip and tamper rejection.</w:t>
            </w:r>
          </w:p>
        </w:tc>
      </w:tr>
      <w:tr>
        <w:trPr>
          <w:cantSplit/>
        </w:trPr>
        <w:tc>
          <w:tcPr>
            <w:tcW w:type="dxa" w:w="2232"/>
            <w:vAlign w:val="center"/>
            <w:tcMar>
              <w:top w:w="95" w:type="dxa"/>
              <w:bottom w:w="95" w:type="dxa"/>
              <w:left w:w="95" w:type="dxa"/>
              <w:right w:w="95" w:type="dxa"/>
            </w:tcMar>
            <w:shd w:fill="FFFFFF"/>
          </w:tcPr>
          <w:p>
            <w:pPr>
              <w:spacing w:after="20" w:line="254" w:lineRule="auto"/>
            </w:pPr>
            <w:r>
              <w:rPr>
                <w:b w:val="0"/>
                <w:color w:val="000000"/>
                <w:sz w:val="20"/>
              </w:rPr>
              <w:t>Browser policy</w:t>
            </w:r>
          </w:p>
        </w:tc>
        <w:tc>
          <w:tcPr>
            <w:tcW w:type="dxa" w:w="1728"/>
            <w:vAlign w:val="center"/>
            <w:tcMar>
              <w:top w:w="95" w:type="dxa"/>
              <w:bottom w:w="95" w:type="dxa"/>
              <w:left w:w="95" w:type="dxa"/>
              <w:right w:w="95" w:type="dxa"/>
            </w:tcMar>
            <w:shd w:fill="FFFFFF"/>
          </w:tcPr>
          <w:p>
            <w:pPr>
              <w:spacing w:after="20" w:line="254" w:lineRule="auto"/>
            </w:pPr>
            <w:r>
              <w:rPr>
                <w:b w:val="0"/>
                <w:color w:val="000000"/>
                <w:sz w:val="20"/>
              </w:rPr>
              <w:t>60 + 10 passed</w:t>
            </w:r>
          </w:p>
        </w:tc>
        <w:tc>
          <w:tcPr>
            <w:tcW w:type="dxa" w:w="5976"/>
            <w:vAlign w:val="center"/>
            <w:tcMar>
              <w:top w:w="95" w:type="dxa"/>
              <w:bottom w:w="95" w:type="dxa"/>
              <w:left w:w="95" w:type="dxa"/>
              <w:right w:w="95" w:type="dxa"/>
            </w:tcMar>
            <w:shd w:fill="FFFFFF"/>
          </w:tcPr>
          <w:p>
            <w:pPr>
              <w:spacing w:after="20" w:line="254" w:lineRule="auto"/>
            </w:pPr>
            <w:r>
              <w:rPr>
                <w:b w:val="0"/>
                <w:color w:val="000000"/>
                <w:sz w:val="20"/>
              </w:rPr>
              <w:t>URL/navigation cases and ten denied non-GET methods.</w:t>
            </w:r>
          </w:p>
        </w:tc>
      </w:tr>
      <w:tr>
        <w:trPr>
          <w:cantSplit/>
        </w:trPr>
        <w:tc>
          <w:tcPr>
            <w:tcW w:type="dxa" w:w="2232"/>
            <w:vAlign w:val="center"/>
            <w:tcMar>
              <w:top w:w="95" w:type="dxa"/>
              <w:bottom w:w="95" w:type="dxa"/>
              <w:left w:w="95" w:type="dxa"/>
              <w:right w:w="95" w:type="dxa"/>
            </w:tcMar>
            <w:shd w:fill="F4F4F4"/>
          </w:tcPr>
          <w:p>
            <w:pPr>
              <w:spacing w:after="20" w:line="254" w:lineRule="auto"/>
            </w:pPr>
            <w:r>
              <w:rPr>
                <w:b w:val="0"/>
                <w:color w:val="000000"/>
                <w:sz w:val="20"/>
              </w:rPr>
              <w:t>Hostile HTML</w:t>
            </w:r>
          </w:p>
        </w:tc>
        <w:tc>
          <w:tcPr>
            <w:tcW w:type="dxa" w:w="1728"/>
            <w:vAlign w:val="center"/>
            <w:tcMar>
              <w:top w:w="95" w:type="dxa"/>
              <w:bottom w:w="95" w:type="dxa"/>
              <w:left w:w="95" w:type="dxa"/>
              <w:right w:w="95" w:type="dxa"/>
            </w:tcMar>
            <w:shd w:fill="F4F4F4"/>
          </w:tcPr>
          <w:p>
            <w:pPr>
              <w:spacing w:after="20" w:line="254" w:lineRule="auto"/>
            </w:pPr>
            <w:r>
              <w:rPr>
                <w:b w:val="0"/>
                <w:color w:val="000000"/>
                <w:sz w:val="20"/>
              </w:rPr>
              <w:t>140 passed</w:t>
            </w:r>
          </w:p>
        </w:tc>
        <w:tc>
          <w:tcPr>
            <w:tcW w:type="dxa" w:w="5976"/>
            <w:vAlign w:val="center"/>
            <w:tcMar>
              <w:top w:w="95" w:type="dxa"/>
              <w:bottom w:w="95" w:type="dxa"/>
              <w:left w:w="95" w:type="dxa"/>
              <w:right w:w="95" w:type="dxa"/>
            </w:tcMar>
            <w:shd w:fill="F4F4F4"/>
          </w:tcPr>
          <w:p>
            <w:pPr>
              <w:spacing w:after="20" w:line="254" w:lineRule="auto"/>
            </w:pPr>
            <w:r>
              <w:rPr>
                <w:b w:val="0"/>
                <w:color w:val="000000"/>
                <w:sz w:val="20"/>
              </w:rPr>
              <w:t>Sanitizer output assertions. Inputs are transformed; this is not 140 certified exploits rejected.</w:t>
            </w:r>
          </w:p>
        </w:tc>
      </w:tr>
      <w:tr>
        <w:trPr>
          <w:cantSplit/>
        </w:trPr>
        <w:tc>
          <w:tcPr>
            <w:tcW w:type="dxa" w:w="2232"/>
            <w:vAlign w:val="center"/>
            <w:tcMar>
              <w:top w:w="95" w:type="dxa"/>
              <w:bottom w:w="95" w:type="dxa"/>
              <w:left w:w="95" w:type="dxa"/>
              <w:right w:w="95" w:type="dxa"/>
            </w:tcMar>
            <w:shd w:fill="FFFFFF"/>
          </w:tcPr>
          <w:p>
            <w:pPr>
              <w:spacing w:after="20" w:line="254" w:lineRule="auto"/>
            </w:pPr>
            <w:r>
              <w:rPr>
                <w:b w:val="0"/>
                <w:color w:val="000000"/>
                <w:sz w:val="20"/>
              </w:rPr>
              <w:t>Quant rendering</w:t>
            </w:r>
          </w:p>
        </w:tc>
        <w:tc>
          <w:tcPr>
            <w:tcW w:type="dxa" w:w="1728"/>
            <w:vAlign w:val="center"/>
            <w:tcMar>
              <w:top w:w="95" w:type="dxa"/>
              <w:bottom w:w="95" w:type="dxa"/>
              <w:left w:w="95" w:type="dxa"/>
              <w:right w:w="95" w:type="dxa"/>
            </w:tcMar>
            <w:shd w:fill="FFFFFF"/>
          </w:tcPr>
          <w:p>
            <w:pPr>
              <w:spacing w:after="20" w:line="254" w:lineRule="auto"/>
            </w:pPr>
            <w:r>
              <w:rPr>
                <w:b w:val="0"/>
                <w:color w:val="000000"/>
                <w:sz w:val="20"/>
              </w:rPr>
              <w:t>32 passed</w:t>
            </w:r>
          </w:p>
        </w:tc>
        <w:tc>
          <w:tcPr>
            <w:tcW w:type="dxa" w:w="5976"/>
            <w:vAlign w:val="center"/>
            <w:tcMar>
              <w:top w:w="95" w:type="dxa"/>
              <w:bottom w:w="95" w:type="dxa"/>
              <w:left w:w="95" w:type="dxa"/>
              <w:right w:w="95" w:type="dxa"/>
            </w:tcMar>
            <w:shd w:fill="FFFFFF"/>
          </w:tcPr>
          <w:p>
            <w:pPr>
              <w:spacing w:after="20" w:line="254" w:lineRule="auto"/>
            </w:pPr>
            <w:r>
              <w:rPr>
                <w:b w:val="0"/>
                <w:color w:val="000000"/>
                <w:sz w:val="20"/>
              </w:rPr>
              <w:t>Generated-view fixtures, separate from the 32 active-Book capacity.</w:t>
            </w:r>
          </w:p>
        </w:tc>
      </w:tr>
      <w:tr>
        <w:trPr>
          <w:cantSplit/>
        </w:trPr>
        <w:tc>
          <w:tcPr>
            <w:tcW w:type="dxa" w:w="2232"/>
            <w:vAlign w:val="center"/>
            <w:tcMar>
              <w:top w:w="95" w:type="dxa"/>
              <w:bottom w:w="95" w:type="dxa"/>
              <w:left w:w="95" w:type="dxa"/>
              <w:right w:w="95" w:type="dxa"/>
            </w:tcMar>
            <w:shd w:fill="F4F4F4"/>
          </w:tcPr>
          <w:p>
            <w:pPr>
              <w:spacing w:after="20" w:line="254" w:lineRule="auto"/>
            </w:pPr>
            <w:r>
              <w:rPr>
                <w:b w:val="0"/>
                <w:color w:val="000000"/>
                <w:sz w:val="20"/>
              </w:rPr>
              <w:t>Independent parsing</w:t>
            </w:r>
          </w:p>
        </w:tc>
        <w:tc>
          <w:tcPr>
            <w:tcW w:type="dxa" w:w="1728"/>
            <w:vAlign w:val="center"/>
            <w:tcMar>
              <w:top w:w="95" w:type="dxa"/>
              <w:bottom w:w="95" w:type="dxa"/>
              <w:left w:w="95" w:type="dxa"/>
              <w:right w:w="95" w:type="dxa"/>
            </w:tcMar>
            <w:shd w:fill="F4F4F4"/>
          </w:tcPr>
          <w:p>
            <w:pPr>
              <w:spacing w:after="20" w:line="254" w:lineRule="auto"/>
            </w:pPr>
            <w:r>
              <w:rPr>
                <w:b w:val="0"/>
                <w:color w:val="000000"/>
                <w:sz w:val="20"/>
              </w:rPr>
              <w:t>173 + 1 passed</w:t>
            </w:r>
          </w:p>
        </w:tc>
        <w:tc>
          <w:tcPr>
            <w:tcW w:type="dxa" w:w="5976"/>
            <w:vAlign w:val="center"/>
            <w:tcMar>
              <w:top w:w="95" w:type="dxa"/>
              <w:bottom w:w="95" w:type="dxa"/>
              <w:left w:w="95" w:type="dxa"/>
              <w:right w:w="95" w:type="dxa"/>
            </w:tcMar>
            <w:shd w:fill="F4F4F4"/>
          </w:tcPr>
          <w:p>
            <w:pPr>
              <w:spacing w:after="20" w:line="254" w:lineRule="auto"/>
            </w:pPr>
            <w:r>
              <w:rPr>
                <w:b w:val="0"/>
                <w:color w:val="000000"/>
                <w:sz w:val="20"/>
              </w:rPr>
              <w:t>Default-deny documents and an explicit-script output parsed with lxml.</w:t>
            </w:r>
          </w:p>
        </w:tc>
      </w:tr>
      <w:tr>
        <w:trPr>
          <w:cantSplit/>
        </w:trPr>
        <w:tc>
          <w:tcPr>
            <w:tcW w:type="dxa" w:w="2232"/>
            <w:vAlign w:val="center"/>
            <w:tcMar>
              <w:top w:w="95" w:type="dxa"/>
              <w:bottom w:w="95" w:type="dxa"/>
              <w:left w:w="95" w:type="dxa"/>
              <w:right w:w="95" w:type="dxa"/>
            </w:tcMar>
            <w:shd w:fill="FFFFFF"/>
          </w:tcPr>
          <w:p>
            <w:pPr>
              <w:spacing w:after="20" w:line="254" w:lineRule="auto"/>
            </w:pPr>
            <w:r>
              <w:rPr>
                <w:b w:val="0"/>
                <w:color w:val="000000"/>
                <w:sz w:val="20"/>
              </w:rPr>
              <w:t>Source integrity</w:t>
            </w:r>
          </w:p>
        </w:tc>
        <w:tc>
          <w:tcPr>
            <w:tcW w:type="dxa" w:w="1728"/>
            <w:vAlign w:val="center"/>
            <w:tcMar>
              <w:top w:w="95" w:type="dxa"/>
              <w:bottom w:w="95" w:type="dxa"/>
              <w:left w:w="95" w:type="dxa"/>
              <w:right w:w="95" w:type="dxa"/>
            </w:tcMar>
            <w:shd w:fill="FFFFFF"/>
          </w:tcPr>
          <w:p>
            <w:pPr>
              <w:spacing w:after="20" w:line="254" w:lineRule="auto"/>
            </w:pPr>
            <w:r>
              <w:rPr>
                <w:b w:val="0"/>
                <w:color w:val="000000"/>
                <w:sz w:val="20"/>
              </w:rPr>
              <w:t>82 resources</w:t>
            </w:r>
          </w:p>
        </w:tc>
        <w:tc>
          <w:tcPr>
            <w:tcW w:type="dxa" w:w="5976"/>
            <w:vAlign w:val="center"/>
            <w:tcMar>
              <w:top w:w="95" w:type="dxa"/>
              <w:bottom w:w="95" w:type="dxa"/>
              <w:left w:w="95" w:type="dxa"/>
              <w:right w:w="95" w:type="dxa"/>
            </w:tcMar>
            <w:shd w:fill="FFFFFF"/>
          </w:tcPr>
          <w:p>
            <w:pPr>
              <w:spacing w:after="20" w:line="254" w:lineRule="auto"/>
            </w:pPr>
            <w:r>
              <w:rPr>
                <w:b w:val="0"/>
                <w:color w:val="000000"/>
                <w:sz w:val="20"/>
              </w:rPr>
              <w:t>Resource hashes, ten JavaScript syntax checks and forty local resource links.</w:t>
            </w:r>
          </w:p>
        </w:tc>
      </w:tr>
      <w:tr>
        <w:trPr>
          <w:cantSplit/>
        </w:trPr>
        <w:tc>
          <w:tcPr>
            <w:tcW w:type="dxa" w:w="2232"/>
            <w:vAlign w:val="center"/>
            <w:tcMar>
              <w:top w:w="95" w:type="dxa"/>
              <w:bottom w:w="95" w:type="dxa"/>
              <w:left w:w="95" w:type="dxa"/>
              <w:right w:w="95" w:type="dxa"/>
            </w:tcMar>
            <w:shd w:fill="F4F4F4"/>
          </w:tcPr>
          <w:p>
            <w:pPr>
              <w:spacing w:after="20" w:line="254" w:lineRule="auto"/>
            </w:pPr>
            <w:r>
              <w:rPr>
                <w:b w:val="0"/>
                <w:color w:val="000000"/>
                <w:sz w:val="20"/>
              </w:rPr>
              <w:t>Third film</w:t>
            </w:r>
          </w:p>
        </w:tc>
        <w:tc>
          <w:tcPr>
            <w:tcW w:type="dxa" w:w="1728"/>
            <w:vAlign w:val="center"/>
            <w:tcMar>
              <w:top w:w="95" w:type="dxa"/>
              <w:bottom w:w="95" w:type="dxa"/>
              <w:left w:w="95" w:type="dxa"/>
              <w:right w:w="95" w:type="dxa"/>
            </w:tcMar>
            <w:shd w:fill="F4F4F4"/>
          </w:tcPr>
          <w:p>
            <w:pPr>
              <w:spacing w:after="20" w:line="254" w:lineRule="auto"/>
            </w:pPr>
            <w:r>
              <w:rPr>
                <w:b w:val="0"/>
                <w:color w:val="000000"/>
                <w:sz w:val="20"/>
              </w:rPr>
              <w:t>Decode passed</w:t>
            </w:r>
          </w:p>
        </w:tc>
        <w:tc>
          <w:tcPr>
            <w:tcW w:type="dxa" w:w="5976"/>
            <w:vAlign w:val="center"/>
            <w:tcMar>
              <w:top w:w="95" w:type="dxa"/>
              <w:bottom w:w="95" w:type="dxa"/>
              <w:left w:w="95" w:type="dxa"/>
              <w:right w:w="95" w:type="dxa"/>
            </w:tcMar>
            <w:shd w:fill="F4F4F4"/>
          </w:tcPr>
          <w:p>
            <w:pPr>
              <w:spacing w:after="20" w:line="254" w:lineRule="auto"/>
            </w:pPr>
            <w:r>
              <w:rPr>
                <w:b w:val="0"/>
                <w:color w:val="000000"/>
                <w:sz w:val="20"/>
              </w:rPr>
              <w:t>Complete ffmpeg decode without reported errors; bundled bytes match the upload.</w:t>
            </w:r>
          </w:p>
        </w:tc>
      </w:tr>
    </w:tbl>
    <w:p>
      <w:pPr>
        <w:spacing w:after="0"/>
      </w:pPr>
    </w:p>
    <w:p>
      <w:r>
        <w:t>These are source-level and media checks on Linux. No Playwright, browser automation, dependency installation or live website testing was used. Actual WebKit execution, native dialogs, IndexedDB durability, movie playback and appearance on a Mac remain unverified.</w:t>
      </w:r>
    </w:p>
    <w:p>
      <w:pPr>
        <w:pStyle w:val="Heading2"/>
      </w:pPr>
      <w:r>
        <w:t>What is not implemented</w:t>
      </w:r>
    </w:p>
    <w:p>
      <w:r>
        <w:t>MQB action-book approval and execution, ongoing delegated tasks, the encrypted credential ledger, Notion and WhatsApp integrations, a local neural-model runtime, and execution of Quant-as-Astronomer are unfinished. This release must not be described as delivering those capabilities.</w:t>
      </w:r>
    </w:p>
    <w:p>
      <w:r>
        <w:t>The latest Astronomer, Complete Xcode and Browser Project attachments are currently absent from the workspace. Their inclusion and full parity cannot be asserted. The available original macOS source is the restoration baseline: 68 original resource files remain byte-identical, nine are modified, and none are missing.</w:t>
      </w:r>
    </w:p>
    <w:p>
      <w:pPr>
        <w:pStyle w:val="Caption"/>
      </w:pPr>
      <w:r>
        <w:t>Evidence is included as TEST-REPORT.md, RESTORATION.json, VIDEO-PROVENANCE.json and the Tests result files. Hashes identify bytes; they do not certify authorship or absolute safety.</w:t>
      </w:r>
    </w:p>
    <w:p>
      <w:r>
        <w:br w:type="page"/>
      </w:r>
    </w:p>
    <w:p>
      <w:pPr>
        <w:pStyle w:val="Heading1"/>
      </w:pPr>
      <w:r>
        <w:t>Build removal and platform order</w:t>
      </w:r>
    </w:p>
    <w:p>
      <w:pPr>
        <w:pStyle w:val="Heading2"/>
      </w:pPr>
      <w:r>
        <w:t>Build on your Mac</w:t>
      </w:r>
    </w:p>
    <w:p>
      <w:r>
        <w:t>1. Use a Mac with macOS 14 or later and a full Xcode installation already selected.</w:t>
      </w:r>
    </w:p>
    <w:p>
      <w:r>
        <w:t>2. Extract Quant-macOS-Three-Films-Source.zip and open Start-Quant.command. If Finder does not run it, type bash followed by a space in Terminal, drag the command file into that window, and press Return.</w:t>
      </w:r>
    </w:p>
    <w:p>
      <w:r>
        <w:t>3. The command checks source hashes, builds for Apple Silicon and Intel, verifies a local ad-hoc signature, runs native checks, and opens the app only if those steps succeed.</w:t>
      </w:r>
    </w:p>
    <w:p>
      <w:r>
        <w:t>4. The expected output is Build/Build/Products/Release/Quant.app. Build/LOCAL-BUILD-RESULT.json records what actually completed on that Mac.</w:t>
      </w:r>
    </w:p>
    <w:p>
      <w:r>
        <w:t>The native checks cover resource integrity, policy fixtures, WebKit content-rule compilation and Room script loading. They do not replace checking the appearance, imports, exports, restored state, browser choices, draft handling and each film in the running app.</w:t>
      </w:r>
    </w:p>
    <w:p>
      <w:r>
        <w:t>Sign-for-Distribution.command is prepared for an installed Developer ID Application certificate belonging to Joe Smith or Fiduci Group and an existing notarytool Keychain profile. It contacts Apple for signing and notarization. It has not been run here, and no private key is included.</w:t>
      </w:r>
    </w:p>
    <w:p>
      <w:pPr>
        <w:pStyle w:val="Heading2"/>
      </w:pPr>
      <w:r>
        <w:t>Remove Quant when you choose</w:t>
      </w:r>
    </w:p>
    <w:p>
      <w:r>
        <w:t>Export work you want to keep, quit Quant, and move Quant.app to Trash. To remove its stored rooms too, use Finder to open ~/Library/Containers/com.fiducigroup.quant.browser and remove that specific container. Exported copies and starter folders remain where you saved them. The source installs no startup service or updater. REMOVE-QUANT.txt gives the same steps without performing deletion.</w:t>
      </w:r>
    </w:p>
    <w:p>
      <w:pPr>
        <w:pStyle w:val="Heading2"/>
      </w:pPr>
      <w:r>
        <w:t>The order you requested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656"/>
        <w:gridCol w:w="7488"/>
      </w:tblGrid>
      <w:tr>
        <w:trPr>
          <w:cantSplit/>
          <w:tblHeader/>
        </w:trPr>
        <w:tc>
          <w:tcPr>
            <w:tcW w:type="dxa" w:w="792"/>
            <w:vAlign w:val="center"/>
            <w:tcMar>
              <w:top w:w="95" w:type="dxa"/>
              <w:bottom w:w="95" w:type="dxa"/>
              <w:left w:w="95" w:type="dxa"/>
              <w:right w:w="95" w:type="dxa"/>
            </w:tcMar>
            <w:shd w:fill="333333"/>
          </w:tcPr>
          <w:p>
            <w:pPr>
              <w:spacing w:after="20" w:line="254" w:lineRule="auto"/>
            </w:pPr>
            <w:r>
              <w:rPr>
                <w:b/>
                <w:color w:val="FFFFFF"/>
                <w:sz w:val="20"/>
              </w:rPr>
              <w:t>Order</w:t>
            </w:r>
          </w:p>
        </w:tc>
        <w:tc>
          <w:tcPr>
            <w:tcW w:type="dxa" w:w="1656"/>
            <w:vAlign w:val="center"/>
            <w:tcMar>
              <w:top w:w="95" w:type="dxa"/>
              <w:bottom w:w="95" w:type="dxa"/>
              <w:left w:w="95" w:type="dxa"/>
              <w:right w:w="95" w:type="dxa"/>
            </w:tcMar>
            <w:shd w:fill="333333"/>
          </w:tcPr>
          <w:p>
            <w:pPr>
              <w:spacing w:after="20" w:line="254" w:lineRule="auto"/>
            </w:pPr>
            <w:r>
              <w:rPr>
                <w:b/>
                <w:color w:val="FFFFFF"/>
                <w:sz w:val="20"/>
              </w:rPr>
              <w:t>Target</w:t>
            </w:r>
          </w:p>
        </w:tc>
        <w:tc>
          <w:tcPr>
            <w:tcW w:type="dxa" w:w="7488"/>
            <w:vAlign w:val="center"/>
            <w:tcMar>
              <w:top w:w="95" w:type="dxa"/>
              <w:bottom w:w="95" w:type="dxa"/>
              <w:left w:w="95" w:type="dxa"/>
              <w:right w:w="95" w:type="dxa"/>
            </w:tcMar>
            <w:shd w:fill="333333"/>
          </w:tcPr>
          <w:p>
            <w:pPr>
              <w:spacing w:after="20" w:line="254" w:lineRule="auto"/>
            </w:pPr>
            <w:r>
              <w:rPr>
                <w:b/>
                <w:color w:val="FFFFFF"/>
                <w:sz w:val="20"/>
              </w:rPr>
              <w:t>Delivery condition</w:t>
            </w:r>
          </w:p>
        </w:tc>
      </w:tr>
      <w:tr>
        <w:trPr>
          <w:cantSplit/>
        </w:trPr>
        <w:tc>
          <w:tcPr>
            <w:tcW w:type="dxa" w:w="792"/>
            <w:vAlign w:val="center"/>
            <w:tcMar>
              <w:top w:w="95" w:type="dxa"/>
              <w:bottom w:w="95" w:type="dxa"/>
              <w:left w:w="95" w:type="dxa"/>
              <w:right w:w="95" w:type="dxa"/>
            </w:tcMar>
            <w:shd w:fill="FFFFFF"/>
          </w:tcPr>
          <w:p>
            <w:pPr>
              <w:spacing w:after="20" w:line="254" w:lineRule="auto"/>
            </w:pPr>
            <w:r>
              <w:rPr>
                <w:b w:val="0"/>
                <w:color w:val="000000"/>
                <w:sz w:val="20"/>
              </w:rPr>
              <w:t>1</w:t>
            </w:r>
          </w:p>
        </w:tc>
        <w:tc>
          <w:tcPr>
            <w:tcW w:type="dxa" w:w="1656"/>
            <w:vAlign w:val="center"/>
            <w:tcMar>
              <w:top w:w="95" w:type="dxa"/>
              <w:bottom w:w="95" w:type="dxa"/>
              <w:left w:w="95" w:type="dxa"/>
              <w:right w:w="95" w:type="dxa"/>
            </w:tcMar>
            <w:shd w:fill="FFFFFF"/>
          </w:tcPr>
          <w:p>
            <w:pPr>
              <w:spacing w:after="20" w:line="254" w:lineRule="auto"/>
            </w:pPr>
            <w:r>
              <w:rPr>
                <w:b w:val="0"/>
                <w:color w:val="000000"/>
                <w:sz w:val="20"/>
              </w:rPr>
              <w:t>Windows</w:t>
            </w:r>
          </w:p>
        </w:tc>
        <w:tc>
          <w:tcPr>
            <w:tcW w:type="dxa" w:w="7488"/>
            <w:vAlign w:val="center"/>
            <w:tcMar>
              <w:top w:w="95" w:type="dxa"/>
              <w:bottom w:w="95" w:type="dxa"/>
              <w:left w:w="95" w:type="dxa"/>
              <w:right w:w="95" w:type="dxa"/>
            </w:tcMar>
            <w:shd w:fill="FFFFFF"/>
          </w:tcPr>
          <w:p>
            <w:pPr>
              <w:spacing w:after="20" w:line="254" w:lineRule="auto"/>
            </w:pPr>
            <w:r>
              <w:rPr>
                <w:b w:val="0"/>
                <w:color w:val="000000"/>
                <w:sz w:val="20"/>
              </w:rPr>
              <w:t>Port the native host, preserve the shared interface and policies, then build and test.</w:t>
            </w:r>
          </w:p>
        </w:tc>
      </w:tr>
      <w:tr>
        <w:trPr>
          <w:cantSplit/>
        </w:trPr>
        <w:tc>
          <w:tcPr>
            <w:tcW w:type="dxa" w:w="792"/>
            <w:vAlign w:val="center"/>
            <w:tcMar>
              <w:top w:w="95" w:type="dxa"/>
              <w:bottom w:w="95" w:type="dxa"/>
              <w:left w:w="95" w:type="dxa"/>
              <w:right w:w="95" w:type="dxa"/>
            </w:tcMar>
            <w:shd w:fill="F4F4F4"/>
          </w:tcPr>
          <w:p>
            <w:pPr>
              <w:spacing w:after="20" w:line="254" w:lineRule="auto"/>
            </w:pPr>
            <w:r>
              <w:rPr>
                <w:b w:val="0"/>
                <w:color w:val="000000"/>
                <w:sz w:val="20"/>
              </w:rPr>
              <w:t>2</w:t>
            </w:r>
          </w:p>
        </w:tc>
        <w:tc>
          <w:tcPr>
            <w:tcW w:type="dxa" w:w="1656"/>
            <w:vAlign w:val="center"/>
            <w:tcMar>
              <w:top w:w="95" w:type="dxa"/>
              <w:bottom w:w="95" w:type="dxa"/>
              <w:left w:w="95" w:type="dxa"/>
              <w:right w:w="95" w:type="dxa"/>
            </w:tcMar>
            <w:shd w:fill="F4F4F4"/>
          </w:tcPr>
          <w:p>
            <w:pPr>
              <w:spacing w:after="20" w:line="254" w:lineRule="auto"/>
            </w:pPr>
            <w:r>
              <w:rPr>
                <w:b w:val="0"/>
                <w:color w:val="000000"/>
                <w:sz w:val="20"/>
              </w:rPr>
              <w:t>Android APK</w:t>
            </w:r>
          </w:p>
        </w:tc>
        <w:tc>
          <w:tcPr>
            <w:tcW w:type="dxa" w:w="7488"/>
            <w:vAlign w:val="center"/>
            <w:tcMar>
              <w:top w:w="95" w:type="dxa"/>
              <w:bottom w:w="95" w:type="dxa"/>
              <w:left w:w="95" w:type="dxa"/>
              <w:right w:w="95" w:type="dxa"/>
            </w:tcMar>
            <w:shd w:fill="F4F4F4"/>
          </w:tcPr>
          <w:p>
            <w:pPr>
              <w:spacing w:after="20" w:line="254" w:lineRule="auto"/>
            </w:pPr>
            <w:r>
              <w:rPr>
                <w:b w:val="0"/>
                <w:color w:val="000000"/>
                <w:sz w:val="20"/>
              </w:rPr>
              <w:t>Proceed if a real Android build is possible; verify file access, exports and device behavior.</w:t>
            </w:r>
          </w:p>
        </w:tc>
      </w:tr>
      <w:tr>
        <w:trPr>
          <w:cantSplit/>
        </w:trPr>
        <w:tc>
          <w:tcPr>
            <w:tcW w:type="dxa" w:w="792"/>
            <w:vAlign w:val="center"/>
            <w:tcMar>
              <w:top w:w="95" w:type="dxa"/>
              <w:bottom w:w="95" w:type="dxa"/>
              <w:left w:w="95" w:type="dxa"/>
              <w:right w:w="95" w:type="dxa"/>
            </w:tcMar>
            <w:shd w:fill="FFFFFF"/>
          </w:tcPr>
          <w:p>
            <w:pPr>
              <w:spacing w:after="20" w:line="254" w:lineRule="auto"/>
            </w:pPr>
            <w:r>
              <w:rPr>
                <w:b w:val="0"/>
                <w:color w:val="000000"/>
                <w:sz w:val="20"/>
              </w:rPr>
              <w:t>3</w:t>
            </w:r>
          </w:p>
        </w:tc>
        <w:tc>
          <w:tcPr>
            <w:tcW w:type="dxa" w:w="1656"/>
            <w:vAlign w:val="center"/>
            <w:tcMar>
              <w:top w:w="95" w:type="dxa"/>
              <w:bottom w:w="95" w:type="dxa"/>
              <w:left w:w="95" w:type="dxa"/>
              <w:right w:w="95" w:type="dxa"/>
            </w:tcMar>
            <w:shd w:fill="FFFFFF"/>
          </w:tcPr>
          <w:p>
            <w:pPr>
              <w:spacing w:after="20" w:line="254" w:lineRule="auto"/>
            </w:pPr>
            <w:r>
              <w:rPr>
                <w:b w:val="0"/>
                <w:color w:val="000000"/>
                <w:sz w:val="20"/>
              </w:rPr>
              <w:t>Linux</w:t>
            </w:r>
          </w:p>
        </w:tc>
        <w:tc>
          <w:tcPr>
            <w:tcW w:type="dxa" w:w="7488"/>
            <w:vAlign w:val="center"/>
            <w:tcMar>
              <w:top w:w="95" w:type="dxa"/>
              <w:bottom w:w="95" w:type="dxa"/>
              <w:left w:w="95" w:type="dxa"/>
              <w:right w:w="95" w:type="dxa"/>
            </w:tcMar>
            <w:shd w:fill="FFFFFF"/>
          </w:tcPr>
          <w:p>
            <w:pPr>
              <w:spacing w:after="20" w:line="254" w:lineRule="auto"/>
            </w:pPr>
            <w:r>
              <w:rPr>
                <w:b w:val="0"/>
                <w:color w:val="000000"/>
                <w:sz w:val="20"/>
              </w:rPr>
              <w:t>Port and package against an available desktop runtime, then test.</w:t>
            </w:r>
          </w:p>
        </w:tc>
      </w:tr>
      <w:tr>
        <w:trPr>
          <w:cantSplit/>
        </w:trPr>
        <w:tc>
          <w:tcPr>
            <w:tcW w:type="dxa" w:w="792"/>
            <w:vAlign w:val="center"/>
            <w:tcMar>
              <w:top w:w="95" w:type="dxa"/>
              <w:bottom w:w="95" w:type="dxa"/>
              <w:left w:w="95" w:type="dxa"/>
              <w:right w:w="95" w:type="dxa"/>
            </w:tcMar>
            <w:shd w:fill="F4F4F4"/>
          </w:tcPr>
          <w:p>
            <w:pPr>
              <w:spacing w:after="20" w:line="254" w:lineRule="auto"/>
            </w:pPr>
            <w:r>
              <w:rPr>
                <w:b w:val="0"/>
                <w:color w:val="000000"/>
                <w:sz w:val="20"/>
              </w:rPr>
              <w:t>4</w:t>
            </w:r>
          </w:p>
        </w:tc>
        <w:tc>
          <w:tcPr>
            <w:tcW w:type="dxa" w:w="1656"/>
            <w:vAlign w:val="center"/>
            <w:tcMar>
              <w:top w:w="95" w:type="dxa"/>
              <w:bottom w:w="95" w:type="dxa"/>
              <w:left w:w="95" w:type="dxa"/>
              <w:right w:w="95" w:type="dxa"/>
            </w:tcMar>
            <w:shd w:fill="F4F4F4"/>
          </w:tcPr>
          <w:p>
            <w:pPr>
              <w:spacing w:after="20" w:line="254" w:lineRule="auto"/>
            </w:pPr>
            <w:r>
              <w:rPr>
                <w:b w:val="0"/>
                <w:color w:val="000000"/>
                <w:sz w:val="20"/>
              </w:rPr>
              <w:t>iOS</w:t>
            </w:r>
          </w:p>
        </w:tc>
        <w:tc>
          <w:tcPr>
            <w:tcW w:type="dxa" w:w="7488"/>
            <w:vAlign w:val="center"/>
            <w:tcMar>
              <w:top w:w="95" w:type="dxa"/>
              <w:bottom w:w="95" w:type="dxa"/>
              <w:left w:w="95" w:type="dxa"/>
              <w:right w:w="95" w:type="dxa"/>
            </w:tcMar>
            <w:shd w:fill="F4F4F4"/>
          </w:tcPr>
          <w:p>
            <w:pPr>
              <w:spacing w:after="20" w:line="254" w:lineRule="auto"/>
            </w:pPr>
            <w:r>
              <w:rPr>
                <w:b w:val="0"/>
                <w:color w:val="000000"/>
                <w:sz w:val="20"/>
              </w:rPr>
              <w:t>Port the host, build with Xcode and valid provisioning, then test on a device.</w:t>
            </w:r>
          </w:p>
        </w:tc>
      </w:tr>
    </w:tbl>
    <w:p>
      <w:pPr>
        <w:spacing w:after="0"/>
      </w:pPr>
    </w:p>
    <w:p>
      <w:pPr>
        <w:pStyle w:val="Caption"/>
      </w:pPr>
      <w:r>
        <w:t>This document is the Mac handover presented before those ports begin. No Windows executable, Android APK, Linux application or iPhone IPA is included. Their native build dependencies are currently unavailable here; source projects and tested installers must remain clearly distinguished.</w:t>
      </w:r>
    </w:p>
    <w:sectPr w:rsidR="00FC693F" w:rsidRPr="0006063C" w:rsidSect="00034616">
      <w:headerReference w:type="default" r:id="rId9"/>
      <w:footerReference w:type="default" r:id="rId10"/>
      <w:pgSz w:w="12240" w:h="15840"/>
      <w:pgMar w:top="1008"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macOS source build 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QUANT     /     JOE SMITH AND FIDUCI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Georgia" w:hAnsi="Georgia"/>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Georgia" w:hAnsi="Georgia"/>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macOS handover</dc:title>
  <dc:subject>Third opening film and checked source status</dc:subject>
  <dc:creator>Codex</dc:creator>
  <cp:keywords>Quant, macOS, Joe Smith, Fiduci Group, handover</cp:keywords>
  <dc:description>generated by python-docx</dc:description>
  <cp:lastModifiedBy/>
  <cp:revision>1</cp:revision>
  <dcterms:created xsi:type="dcterms:W3CDTF">2013-12-23T23:15:00Z</dcterms:created>
  <dcterms:modified xsi:type="dcterms:W3CDTF">2013-12-23T23:15:00Z</dcterms:modified>
  <cp:category/>
</cp:coreProperties>
</file>