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0" w:before="0"/>
        <w:jc w:val="center"/>
      </w:pPr>
      <w:r>
        <w:rPr>
          <w:rFonts w:ascii="Calibri" w:hAnsi="Calibri"/>
          <w:b w:val="0"/>
          <w:color w:val="5C655A"/>
          <w:sz w:val="24"/>
        </w:rPr>
        <w:t>Universidad Autónoma de Baja California</w:t>
      </w:r>
    </w:p>
    <w:p>
      <w:pPr>
        <w:spacing w:after="480" w:before="0"/>
        <w:jc w:val="center"/>
      </w:pPr>
      <w:r>
        <w:rPr>
          <w:rFonts w:ascii="Calibri" w:hAnsi="Calibri"/>
          <w:b w:val="0"/>
          <w:color w:val="5C655A"/>
          <w:sz w:val="22"/>
        </w:rPr>
        <w:t>Ingeniero en Computación</w:t>
      </w:r>
    </w:p>
    <w:p>
      <w:pPr>
        <w:spacing w:after="80"/>
        <w:jc w:val="center"/>
      </w:pPr>
      <w:r>
        <w:rPr>
          <w:rFonts w:ascii="Calibri" w:hAnsi="Calibri"/>
          <w:b/>
          <w:color w:val="1B5E20"/>
          <w:sz w:val="44"/>
        </w:rPr>
        <w:t>Redes de Computadoras</w:t>
      </w:r>
    </w:p>
    <w:p>
      <w:pPr>
        <w:spacing w:after="600"/>
        <w:jc w:val="center"/>
      </w:pPr>
      <w:r>
        <w:rPr>
          <w:rFonts w:ascii="Calibri" w:hAnsi="Calibri"/>
          <w:b w:val="0"/>
          <w:sz w:val="28"/>
        </w:rPr>
        <w:t>Taller No. 10 — Redes Inalámbricas (802.11)</w:t>
      </w:r>
    </w:p>
    <w:p>
      <w:pPr>
        <w:spacing w:after="60"/>
        <w:jc w:val="center"/>
      </w:pPr>
      <w:r>
        <w:rPr>
          <w:rFonts w:ascii="Calibri" w:hAnsi="Calibri"/>
          <w:b/>
          <w:sz w:val="24"/>
        </w:rPr>
        <w:t xml:space="preserve">Alumno: </w:t>
      </w:r>
      <w:r>
        <w:rPr>
          <w:rFonts w:ascii="Calibri" w:hAnsi="Calibri"/>
          <w:b w:val="0"/>
          <w:sz w:val="24"/>
        </w:rPr>
        <w:t>Joshua Osorio O. — 1293271</w:t>
      </w:r>
    </w:p>
    <w:p>
      <w:pPr>
        <w:spacing w:after="60"/>
        <w:jc w:val="center"/>
      </w:pPr>
      <w:r>
        <w:rPr>
          <w:rFonts w:ascii="Calibri" w:hAnsi="Calibri"/>
          <w:b/>
          <w:sz w:val="24"/>
        </w:rPr>
        <w:t xml:space="preserve">Docente: </w:t>
      </w:r>
      <w:r>
        <w:rPr>
          <w:rFonts w:ascii="Calibri" w:hAnsi="Calibri"/>
          <w:b w:val="0"/>
          <w:color w:val="B3261E"/>
          <w:sz w:val="24"/>
        </w:rPr>
        <w:t>[por completar]</w:t>
      </w:r>
    </w:p>
    <w:p>
      <w:pPr>
        <w:spacing w:after="60"/>
        <w:jc w:val="center"/>
      </w:pPr>
      <w:r>
        <w:rPr>
          <w:rFonts w:ascii="Calibri" w:hAnsi="Calibri"/>
          <w:b/>
          <w:sz w:val="24"/>
        </w:rPr>
        <w:t xml:space="preserve">Fecha: </w:t>
      </w:r>
      <w:r>
        <w:rPr>
          <w:rFonts w:ascii="Calibri" w:hAnsi="Calibri"/>
          <w:b w:val="0"/>
          <w:sz w:val="24"/>
        </w:rPr>
        <w:t>13/10/2026</w:t>
      </w:r>
    </w:p>
    <w:p>
      <w:r>
        <w:br w:type="page"/>
      </w:r>
    </w:p>
    <w:p>
      <w:pPr>
        <w:spacing w:after="160"/>
      </w:pPr>
      <w:r>
        <w:rPr>
          <w:rFonts w:ascii="Calibri" w:hAnsi="Calibri"/>
          <w:b/>
          <w:color w:val="1B5E20"/>
          <w:sz w:val="28"/>
        </w:rPr>
        <w:t>Tabla de contenido</w:t>
      </w:r>
    </w:p>
    <w:p>
      <w:fldSimple w:instr="TOC \o &quot;1-1&quot; \h \z \u">
        <w:r>
          <w:t>Actualiza este campo en Word: clic derecho → Actualizar campos (o F9).</w:t>
        </w:r>
      </w:fldSimple>
    </w:p>
    <w:p>
      <w:r>
        <w:br w:type="page"/>
      </w:r>
    </w:p>
    <w:p>
      <w:pPr>
        <w:pStyle w:val="Heading1"/>
      </w:pPr>
      <w:r>
        <w:t>Objetivo</w:t>
      </w:r>
    </w:p>
    <w:p>
      <w:pPr>
        <w:spacing w:after="120" w:before="0"/>
      </w:pPr>
      <w:r>
        <w:rPr>
          <w:rFonts w:ascii="Calibri" w:hAnsi="Calibri"/>
          <w:b w:val="0"/>
          <w:sz w:val="22"/>
        </w:rPr>
        <w:t>Comprender los mecanismos de seguridad de las redes inalámbricas 802.11 (WPA/WPA2 y WPS) mediante una auditoría práctica sobre redes de prueba propias, utilizando la suite wifite en Kali Linux. Se busca identificar los distintos vectores de ataque (WPS Pixie-Dust, WPS PIN, PMKID y captura de handshake WPA), ejecutarlos en un entorno controlado y evaluar la resistencia de los equipos ante cada uno.</w:t>
      </w:r>
    </w:p>
    <w:p>
      <w:pPr>
        <w:pStyle w:val="Heading1"/>
      </w:pPr>
      <w:r>
        <w:t>Desarrollo</w:t>
      </w:r>
    </w:p>
    <w:p>
      <w:pPr>
        <w:spacing w:after="120" w:before="0"/>
      </w:pPr>
      <w:r>
        <w:rPr>
          <w:rFonts w:ascii="Calibri" w:hAnsi="Calibri"/>
          <w:b w:val="0"/>
          <w:sz w:val="22"/>
        </w:rPr>
        <w:t>Las pruebas se realizaron sobre redes propias distribuidas en un predio amplio y subdividido, por lo que coexisten varios enlaces de distintos proveedores a los que se tiene acceso autorizado. El procedimiento fue el siguiente:</w:t>
      </w:r>
    </w:p>
    <w:p>
      <w:pPr>
        <w:pStyle w:val="ListNumber"/>
        <w:spacing w:after="80"/>
      </w:pPr>
      <w:r>
        <w:rPr>
          <w:rFonts w:ascii="Calibri" w:hAnsi="Calibri"/>
          <w:b w:val="0"/>
          <w:sz w:val="22"/>
        </w:rPr>
        <w:t>Preparación. Se actualizó el sistema (apt update) y se instalaron wireless-tools, aircrack-ng y las herramientas de captura PMKID (hcxdumptool, hcxtools).</w:t>
      </w:r>
    </w:p>
    <w:p>
      <w:pPr>
        <w:pStyle w:val="ListNumber"/>
        <w:spacing w:after="80"/>
      </w:pPr>
      <w:r>
        <w:rPr>
          <w:rFonts w:ascii="Calibri" w:hAnsi="Calibri"/>
          <w:b w:val="0"/>
          <w:sz w:val="22"/>
        </w:rPr>
        <w:t>Modo monitor. Se activó el modo monitor con airmon-ng check kill y airmon-ng start wlan0, generando la interfaz wlan0mon.</w:t>
      </w:r>
    </w:p>
    <w:p>
      <w:pPr>
        <w:pStyle w:val="ListNumber"/>
        <w:spacing w:after="80"/>
      </w:pPr>
      <w:r>
        <w:rPr>
          <w:rFonts w:ascii="Calibri" w:hAnsi="Calibri"/>
          <w:b w:val="0"/>
          <w:sz w:val="22"/>
        </w:rPr>
        <w:t>Escaneo. wifite detectó las redes del entorno mostrando ESSID, canal, cifrado (WPA/WPA2-P), potencia (PWR) y estado de WPS.</w:t>
      </w:r>
    </w:p>
    <w:p>
      <w:pPr>
        <w:pStyle w:val="ListNumber"/>
        <w:spacing w:after="80"/>
      </w:pPr>
      <w:r>
        <w:rPr>
          <w:rFonts w:ascii="Calibri" w:hAnsi="Calibri"/>
          <w:b w:val="0"/>
          <w:sz w:val="22"/>
        </w:rPr>
        <w:t>Ataque. Se lanzaron los métodos automáticos de wifite: WPS Pixie-Dust, WPS NULL PIN, WPS PIN por fuerza bruta, captura PMKID y captura de handshake WPA mediante deauth.</w:t>
      </w:r>
    </w:p>
    <w:p>
      <w:pPr>
        <w:spacing w:after="120" w:before="0"/>
      </w:pPr>
      <w:r>
        <w:rPr>
          <w:rFonts w:ascii="Calibri" w:hAnsi="Calibri"/>
          <w:b w:val="0"/>
          <w:sz w:val="22"/>
        </w:rPr>
        <w:t>Cada método corresponde a un vector de ataque distinto:</w:t>
      </w:r>
    </w:p>
    <w:tbl>
      <w:tblPr>
        <w:tblStyle w:val="TableGrid"/>
        <w:tblW w:type="auto" w:w="0"/>
        <w:jc w:val="center"/>
        <w:tblLook w:firstColumn="1" w:firstRow="1" w:lastColumn="0" w:lastRow="0" w:noHBand="0" w:noVBand="1" w:val="04A0"/>
      </w:tblPr>
      <w:tblGrid>
        <w:gridCol w:w="2400"/>
        <w:gridCol w:w="6960"/>
      </w:tblGrid>
      <w:tr>
        <w:tc>
          <w:tcPr>
            <w:tcW w:type="dxa" w:w="4680"/>
            <w:shd w:val="clear" w:color="auto" w:fill="1B5E20"/>
          </w:tcPr>
          <w:p>
            <w:pPr>
              <w:spacing w:after="0"/>
            </w:pPr>
            <w:r/>
            <w:r>
              <w:rPr>
                <w:rFonts w:ascii="Calibri" w:hAnsi="Calibri"/>
                <w:b/>
                <w:color w:val="FFFFFF"/>
                <w:sz w:val="20"/>
              </w:rPr>
              <w:t>Método</w:t>
            </w:r>
          </w:p>
        </w:tc>
        <w:tc>
          <w:tcPr>
            <w:tcW w:type="dxa" w:w="4680"/>
            <w:shd w:val="clear" w:color="auto" w:fill="1B5E20"/>
          </w:tcPr>
          <w:p>
            <w:pPr>
              <w:spacing w:after="0"/>
            </w:pPr>
            <w:r/>
            <w:r>
              <w:rPr>
                <w:rFonts w:ascii="Calibri" w:hAnsi="Calibri"/>
                <w:b/>
                <w:color w:val="FFFFFF"/>
                <w:sz w:val="20"/>
              </w:rPr>
              <w:t>Qué hace</w:t>
            </w:r>
          </w:p>
        </w:tc>
      </w:tr>
      <w:tr>
        <w:tc>
          <w:tcPr>
            <w:tcW w:type="dxa" w:w="2400"/>
          </w:tcPr>
          <w:p>
            <w:pPr>
              <w:spacing w:after="0"/>
            </w:pPr>
            <w:r/>
            <w:r>
              <w:rPr>
                <w:rFonts w:ascii="Calibri" w:hAnsi="Calibri"/>
                <w:b/>
                <w:sz w:val="20"/>
              </w:rPr>
              <w:t>WPS Pixie-Dust</w:t>
            </w:r>
          </w:p>
        </w:tc>
        <w:tc>
          <w:tcPr>
            <w:tcW w:type="dxa" w:w="6960"/>
          </w:tcPr>
          <w:p>
            <w:pPr>
              <w:spacing w:after="0"/>
            </w:pPr>
            <w:r/>
            <w:r>
              <w:rPr>
                <w:rFonts w:ascii="Calibri" w:hAnsi="Calibri"/>
                <w:b w:val="0"/>
                <w:sz w:val="20"/>
              </w:rPr>
              <w:t>Ataque offline al PIN de WPS; explota routers que generan los nonces con poca aleatoriedad. Solo funciona en modelos vulnerables.</w:t>
            </w:r>
          </w:p>
        </w:tc>
      </w:tr>
      <w:tr>
        <w:tc>
          <w:tcPr>
            <w:tcW w:type="dxa" w:w="2400"/>
          </w:tcPr>
          <w:p>
            <w:pPr>
              <w:spacing w:after="0"/>
            </w:pPr>
            <w:r/>
            <w:r>
              <w:rPr>
                <w:rFonts w:ascii="Calibri" w:hAnsi="Calibri"/>
                <w:b/>
                <w:sz w:val="20"/>
              </w:rPr>
              <w:t>WPS NULL PIN</w:t>
            </w:r>
          </w:p>
        </w:tc>
        <w:tc>
          <w:tcPr>
            <w:tcW w:type="dxa" w:w="6960"/>
          </w:tcPr>
          <w:p>
            <w:pPr>
              <w:spacing w:after="0"/>
            </w:pPr>
            <w:r/>
            <w:r>
              <w:rPr>
                <w:rFonts w:ascii="Calibri" w:hAnsi="Calibri"/>
                <w:b w:val="0"/>
                <w:sz w:val="20"/>
              </w:rPr>
              <w:t>Prueba si el router acepta un PIN vacío por un bug de firmware. Específico de chipsets antiguos.</w:t>
            </w:r>
          </w:p>
        </w:tc>
      </w:tr>
      <w:tr>
        <w:tc>
          <w:tcPr>
            <w:tcW w:type="dxa" w:w="2400"/>
          </w:tcPr>
          <w:p>
            <w:pPr>
              <w:spacing w:after="0"/>
            </w:pPr>
            <w:r/>
            <w:r>
              <w:rPr>
                <w:rFonts w:ascii="Calibri" w:hAnsi="Calibri"/>
                <w:b/>
                <w:sz w:val="20"/>
              </w:rPr>
              <w:t>WPS PIN (fuerza bruta)</w:t>
            </w:r>
          </w:p>
        </w:tc>
        <w:tc>
          <w:tcPr>
            <w:tcW w:type="dxa" w:w="6960"/>
          </w:tcPr>
          <w:p>
            <w:pPr>
              <w:spacing w:after="0"/>
            </w:pPr>
            <w:r/>
            <w:r>
              <w:rPr>
                <w:rFonts w:ascii="Calibri" w:hAnsi="Calibri"/>
                <w:b w:val="0"/>
                <w:sz w:val="20"/>
              </w:rPr>
              <w:t>Prueba los ~11 000 PINs posibles. Lento; los routers actuales bloquean WPS tras varios intentos.</w:t>
            </w:r>
          </w:p>
        </w:tc>
      </w:tr>
      <w:tr>
        <w:tc>
          <w:tcPr>
            <w:tcW w:type="dxa" w:w="2400"/>
          </w:tcPr>
          <w:p>
            <w:pPr>
              <w:spacing w:after="0"/>
            </w:pPr>
            <w:r/>
            <w:r>
              <w:rPr>
                <w:rFonts w:ascii="Calibri" w:hAnsi="Calibri"/>
                <w:b/>
                <w:sz w:val="20"/>
              </w:rPr>
              <w:t>PMKID capture</w:t>
            </w:r>
          </w:p>
        </w:tc>
        <w:tc>
          <w:tcPr>
            <w:tcW w:type="dxa" w:w="6960"/>
          </w:tcPr>
          <w:p>
            <w:pPr>
              <w:spacing w:after="0"/>
            </w:pPr>
            <w:r/>
            <w:r>
              <w:rPr>
                <w:rFonts w:ascii="Calibri" w:hAnsi="Calibri"/>
                <w:b w:val="0"/>
                <w:sz w:val="20"/>
              </w:rPr>
              <w:t>Captura el PMKID del primer mensaje del AP, sin necesidad de clientes conectados. Requiere hcxpcapngtool.</w:t>
            </w:r>
          </w:p>
        </w:tc>
      </w:tr>
      <w:tr>
        <w:tc>
          <w:tcPr>
            <w:tcW w:type="dxa" w:w="2400"/>
          </w:tcPr>
          <w:p>
            <w:pPr>
              <w:spacing w:after="0"/>
            </w:pPr>
            <w:r/>
            <w:r>
              <w:rPr>
                <w:rFonts w:ascii="Calibri" w:hAnsi="Calibri"/>
                <w:b/>
                <w:sz w:val="20"/>
              </w:rPr>
              <w:t>WPA Handshake</w:t>
            </w:r>
          </w:p>
        </w:tc>
        <w:tc>
          <w:tcPr>
            <w:tcW w:type="dxa" w:w="6960"/>
          </w:tcPr>
          <w:p>
            <w:pPr>
              <w:spacing w:after="0"/>
            </w:pPr>
            <w:r/>
            <w:r>
              <w:rPr>
                <w:rFonts w:ascii="Calibri" w:hAnsi="Calibri"/>
                <w:b w:val="0"/>
                <w:sz w:val="20"/>
              </w:rPr>
              <w:t>Captura el 4-way handshake forzando la reconexión con deauth; luego se descifra offline con diccionario. Requiere cliente conectado y buena señal.</w:t>
            </w:r>
          </w:p>
        </w:tc>
      </w:tr>
    </w:tbl>
    <w:p>
      <w:pPr>
        <w:spacing w:after="80" w:before="0"/>
      </w:pPr>
    </w:p>
    <w:p>
      <w:pPr>
        <w:spacing w:after="120" w:before="0"/>
      </w:pPr>
      <w:r>
        <w:rPr>
          <w:rFonts w:ascii="Calibri" w:hAnsi="Calibri"/>
          <w:b w:val="0"/>
          <w:sz w:val="22"/>
        </w:rPr>
        <w:t>Las pruebas se ejecutaron con dos configuraciones de hardware para contrastar resultados:</w:t>
      </w:r>
    </w:p>
    <w:p>
      <w:pPr>
        <w:pStyle w:val="ListBullet"/>
        <w:spacing w:after="80"/>
      </w:pPr>
      <w:r>
        <w:rPr>
          <w:rFonts w:ascii="Calibri" w:hAnsi="Calibri"/>
          <w:b/>
          <w:sz w:val="22"/>
        </w:rPr>
        <w:t>Tarjeta interna Intel Wi-Fi 6 AX200</w:t>
      </w:r>
      <w:r>
        <w:rPr>
          <w:rFonts w:ascii="Calibri" w:hAnsi="Calibri"/>
          <w:b w:val="0"/>
          <w:sz w:val="22"/>
        </w:rPr>
        <w:t xml:space="preserve"> (driver iwlwifi): soporta modo monitor en 2.4 y 5 GHz, pero no soporta inyección de paquetes, limitación conocida del driver de Intel.</w:t>
      </w:r>
    </w:p>
    <w:p>
      <w:pPr>
        <w:pStyle w:val="ListBullet"/>
        <w:spacing w:after="80"/>
      </w:pPr>
      <w:r>
        <w:rPr>
          <w:rFonts w:ascii="Calibri" w:hAnsi="Calibri"/>
          <w:b/>
          <w:sz w:val="22"/>
        </w:rPr>
        <w:t>Adaptador USB externo de auditoría</w:t>
      </w:r>
      <w:r>
        <w:rPr>
          <w:rFonts w:ascii="Calibri" w:hAnsi="Calibri"/>
          <w:b w:val="0"/>
          <w:sz w:val="22"/>
        </w:rPr>
        <w:t xml:space="preserve"> (tipo Alfa/MediaTek, con inyección soportada, facilitado por el docente): permite enviar deauth de forma confiable y, por tanto, forzar la captura del handshake.</w:t>
      </w:r>
    </w:p>
    <w:p>
      <w:pPr>
        <w:pStyle w:val="Heading1"/>
      </w:pPr>
      <w:r>
        <w:t>Conclusiones</w:t>
      </w:r>
    </w:p>
    <w:p>
      <w:pPr>
        <w:spacing w:after="120" w:before="0"/>
      </w:pPr>
      <w:r>
        <w:rPr>
          <w:rFonts w:ascii="Calibri" w:hAnsi="Calibri"/>
          <w:b w:val="0"/>
          <w:sz w:val="22"/>
        </w:rPr>
        <w:t>La práctica permitió observar que el factor determinante del éxito fue el hardware de captura, más que el método de ataque en sí:</w:t>
      </w:r>
    </w:p>
    <w:p>
      <w:pPr>
        <w:pStyle w:val="ListBullet"/>
        <w:spacing w:after="80"/>
      </w:pPr>
      <w:r>
        <w:rPr>
          <w:rFonts w:ascii="Calibri" w:hAnsi="Calibri"/>
          <w:b/>
          <w:sz w:val="22"/>
        </w:rPr>
        <w:t>Con la tarjeta interna Intel AX200 no se logró vulnerar ninguna red</w:t>
      </w:r>
      <w:r>
        <w:rPr>
          <w:rFonts w:ascii="Calibri" w:hAnsi="Calibri"/>
          <w:b w:val="0"/>
          <w:sz w:val="22"/>
        </w:rPr>
        <w:t>: al no soportar inyección, los paquetes deauth no llegaban de forma fiable a los clientes y la captura del handshake agotaba el tiempo límite (300 s). Los ataques WPS tampoco prosperaron — «WPS pin not found» (router no vulnerable a Pixie-Dust) y «access point is Locked» (bloqueo de WPS), ambos indicadores de equipos correctamente protegidos.</w:t>
      </w:r>
    </w:p>
    <w:p>
      <w:pPr>
        <w:pStyle w:val="ListBullet"/>
        <w:spacing w:after="80"/>
      </w:pPr>
      <w:r>
        <w:rPr>
          <w:rFonts w:ascii="Calibri" w:hAnsi="Calibri"/>
          <w:b/>
          <w:sz w:val="22"/>
        </w:rPr>
        <w:t>Con el adaptador USB externo de auditoría sí se capturó el handshake WPA de una red TP-Link y se descifró con el diccionario rockyou.txt</w:t>
      </w:r>
      <w:r>
        <w:rPr>
          <w:rFonts w:ascii="Calibri" w:hAnsi="Calibri"/>
          <w:b w:val="0"/>
          <w:sz w:val="22"/>
        </w:rPr>
        <w:t xml:space="preserve"> en poco tiempo, al tratarse de una contraseña débil presente en la lista.</w:t>
      </w:r>
    </w:p>
    <w:p>
      <w:pPr>
        <w:spacing w:after="120" w:before="0"/>
      </w:pPr>
      <w:r>
        <w:rPr>
          <w:rFonts w:ascii="Calibri" w:hAnsi="Calibri"/>
          <w:b w:val="0"/>
          <w:sz w:val="22"/>
        </w:rPr>
        <w:t>En conjunto se concluye que: (1) la inyección de paquetes es un requisito indispensable para los ataques activos de 802.11, y una tarjeta sin ese soporte (como la Intel AX200) solo sirve para escucha pasiva; (2) un router con WPS bloqueado y firmware actualizado resiste bien los ataques WPS; y (3) frente al handshake WPA la defensa real es una contraseña robusta, ya que una débil cae de inmediato ante un ataque de diccionario, como demostró el caso de la red TP-Link.</w:t>
      </w:r>
    </w:p>
    <w:p>
      <w:pPr>
        <w:pStyle w:val="Heading1"/>
      </w:pPr>
      <w:r>
        <w:t>Dificultades</w:t>
      </w:r>
    </w:p>
    <w:p>
      <w:pPr>
        <w:pStyle w:val="ListBullet"/>
        <w:spacing w:after="80"/>
      </w:pPr>
      <w:r>
        <w:rPr>
          <w:rFonts w:ascii="Calibri" w:hAnsi="Calibri"/>
          <w:b/>
          <w:sz w:val="22"/>
        </w:rPr>
        <w:t>Limitación principal — la tarjeta Intel AX200 no soporta inyección</w:t>
      </w:r>
      <w:r>
        <w:rPr>
          <w:rFonts w:ascii="Calibri" w:hAnsi="Calibri"/>
          <w:b w:val="0"/>
          <w:sz w:val="22"/>
        </w:rPr>
        <w:t xml:space="preserve"> (driver iwlwifi). Aunque hace modo monitor, no puede enviar deauth de forma fiable, por lo que no se capturó ningún handshake con ella. Se resolvió usando el adaptador USB externo de auditoría, del que solo se contaba con una unidad en el laboratorio, por lo que hubo que turnarlo entre equipos.</w:t>
      </w:r>
    </w:p>
    <w:p>
      <w:pPr>
        <w:pStyle w:val="ListBullet"/>
        <w:spacing w:after="80"/>
      </w:pPr>
      <w:r>
        <w:rPr>
          <w:rFonts w:ascii="Calibri" w:hAnsi="Calibri"/>
          <w:b w:val="0"/>
          <w:sz w:val="22"/>
        </w:rPr>
        <w:t>Faltó la herramienta hcxpcapngtool (del paquete hcxtools), por lo que wifite saltó por completo el ataque PMKID. Se resolvió instalando hcxtools.</w:t>
      </w:r>
    </w:p>
    <w:p>
      <w:pPr>
        <w:pStyle w:val="ListBullet"/>
        <w:spacing w:after="80"/>
      </w:pPr>
      <w:r>
        <w:rPr>
          <w:rFonts w:ascii="Calibri" w:hAnsi="Calibri"/>
          <w:b w:val="0"/>
          <w:sz w:val="22"/>
        </w:rPr>
        <w:t>No se detectaban redes de 5 GHz: por defecto wifite solo escanea la banda de 2.4 GHz; hay que indicar la bandera --5ghz. Además, la AX200 no expone banda de 6 GHz, por lo que WiFi 6E/7 queda fuera del alcance.</w:t>
      </w:r>
    </w:p>
    <w:p>
      <w:pPr>
        <w:pStyle w:val="ListBullet"/>
        <w:spacing w:after="80"/>
      </w:pPr>
      <w:r>
        <w:rPr>
          <w:rFonts w:ascii="Calibri" w:hAnsi="Calibri"/>
          <w:b w:val="0"/>
          <w:sz w:val="22"/>
        </w:rPr>
        <w:t>Crash de WPS en wifite ('NoneType' object has no attribute 'poll'): un subproceso de reaver/bully murió y abortó la cadena de ataques de esa red. Se evita con --no-wps para ir directo a PMKID/handshake.</w:t>
      </w:r>
    </w:p>
    <w:p>
      <w:pPr>
        <w:pStyle w:val="ListBullet"/>
        <w:spacing w:after="80"/>
      </w:pPr>
      <w:r>
        <w:rPr>
          <w:rFonts w:ascii="Calibri" w:hAnsi="Calibri"/>
          <w:b w:val="0"/>
          <w:sz w:val="22"/>
        </w:rPr>
        <w:t>Selección de objetivos demasiado amplia: al elegir «all» el tiempo de captura se repartió entre muchas redes. La corrección fue fijar una sola red por BSSID y canal.</w:t>
      </w:r>
    </w:p>
    <w:p>
      <w:pPr>
        <w:pStyle w:val="Heading1"/>
      </w:pPr>
      <w:r>
        <w:t>Bibliografía</w:t>
      </w:r>
    </w:p>
    <w:p>
      <w:pPr>
        <w:pStyle w:val="ListBullet"/>
        <w:spacing w:after="80"/>
      </w:pPr>
      <w:r>
        <w:rPr>
          <w:rFonts w:ascii="Calibri" w:hAnsi="Calibri"/>
          <w:b w:val="0"/>
          <w:sz w:val="22"/>
        </w:rPr>
        <w:t>Kurose, J. F. y Ross, K. W. (2017). Redes de computadoras: un enfoque descendente (7.ª ed.). Pearson.</w:t>
      </w:r>
    </w:p>
    <w:p>
      <w:pPr>
        <w:pStyle w:val="ListBullet"/>
        <w:spacing w:after="80"/>
      </w:pPr>
      <w:r>
        <w:rPr>
          <w:rFonts w:ascii="Calibri" w:hAnsi="Calibri"/>
          <w:b w:val="0"/>
          <w:sz w:val="22"/>
        </w:rPr>
        <w:t>Tanenbaum, A. S. y Wetherall, D. J. (2012). Redes de computadoras (5.ª ed.). Prentice Hall.</w:t>
      </w:r>
    </w:p>
    <w:p>
      <w:pPr>
        <w:pStyle w:val="ListBullet"/>
        <w:spacing w:after="80"/>
      </w:pPr>
      <w:r>
        <w:rPr>
          <w:rFonts w:ascii="Calibri" w:hAnsi="Calibri"/>
          <w:b w:val="0"/>
          <w:sz w:val="22"/>
        </w:rPr>
        <w:t>IEEE. (2020). IEEE Std 802.11-2020 — Wireless LAN Medium Access Control (MAC) and Physical Layer (PHY) Specifications.</w:t>
      </w:r>
    </w:p>
    <w:p>
      <w:pPr>
        <w:pStyle w:val="ListBullet"/>
        <w:spacing w:after="80"/>
      </w:pPr>
      <w:r>
        <w:rPr>
          <w:rFonts w:ascii="Calibri" w:hAnsi="Calibri"/>
          <w:b w:val="0"/>
          <w:sz w:val="22"/>
        </w:rPr>
        <w:t>Kali Linux. wifite — Documentation. https://www.kali.org/tools/wifite/</w:t>
      </w:r>
    </w:p>
    <w:p>
      <w:pPr>
        <w:pStyle w:val="ListBullet"/>
        <w:spacing w:after="80"/>
      </w:pPr>
      <w:r>
        <w:rPr>
          <w:rFonts w:ascii="Calibri" w:hAnsi="Calibri"/>
          <w:b w:val="0"/>
          <w:sz w:val="22"/>
        </w:rPr>
        <w:t>Aircrack-ng. aircrack-ng suite documentation. https://www.aircrack-ng.org/documentation.html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