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p1wymkr9myfd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Reporte de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44.999999999999815" w:tblpY="3437.7294140625"/>
        <w:tblW w:w="9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625"/>
        <w:gridCol w:w="1485"/>
        <w:gridCol w:w="3915"/>
        <w:tblGridChange w:id="0">
          <w:tblGrid>
            <w:gridCol w:w="1230"/>
            <w:gridCol w:w="2625"/>
            <w:gridCol w:w="1485"/>
            <w:gridCol w:w="3915"/>
          </w:tblGrid>
        </w:tblGridChange>
      </w:tblGrid>
      <w:tr>
        <w:trPr>
          <w:cantSplit w:val="0"/>
          <w:trHeight w:val="1065.529333333333" w:hRule="atLeast"/>
          <w:tblHeader w:val="0"/>
        </w:trPr>
        <w:tc>
          <w:tcPr>
            <w:gridSpan w:val="4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4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i w:val="1"/>
                <w:sz w:val="28"/>
                <w:szCs w:val="28"/>
                <w:rtl w:val="0"/>
              </w:rPr>
              <w:t xml:space="preserve">Reporte de Prácticas de Programación en Lenguaje C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8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Materia: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9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Lenguaje C</w:t>
            </w:r>
          </w:p>
        </w:tc>
      </w:tr>
      <w:tr>
        <w:trPr>
          <w:cantSplit w:val="0"/>
          <w:trHeight w:val="1035.669333333334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Tema: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Práctica No. 3:  Clasificación de triángulos.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 Alumno: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hyperlink r:id="rId6">
              <w:r w:rsidDel="00000000" w:rsidR="00000000" w:rsidRPr="00000000">
                <w:rPr>
                  <w:rFonts w:ascii="Proxima Nova" w:cs="Proxima Nova" w:eastAsia="Proxima Nova" w:hAnsi="Proxima Nova"/>
                  <w:color w:val="0000ee"/>
                  <w:sz w:val="24"/>
                  <w:szCs w:val="24"/>
                  <w:u w:val="single"/>
                  <w:rtl w:val="0"/>
                </w:rPr>
                <w:t xml:space="preserve">Joshua Osorio Osorio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Matrícula: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3">
            <w:pPr>
              <w:spacing w:after="240" w:before="240" w:lineRule="auto"/>
              <w:jc w:val="center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1293271</w:t>
            </w:r>
          </w:p>
        </w:tc>
      </w:tr>
      <w:tr>
        <w:trPr>
          <w:cantSplit w:val="0"/>
          <w:trHeight w:val="778.3333333333337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4">
            <w:pPr>
              <w:spacing w:after="240" w:before="240" w:lineRule="auto"/>
              <w:jc w:val="both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Docente: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Fernando Elihonai Saucedo Lares</w:t>
            </w:r>
          </w:p>
        </w:tc>
      </w:tr>
      <w:tr>
        <w:trPr>
          <w:cantSplit w:val="0"/>
          <w:trHeight w:val="624.0397135416652" w:hRule="atLeast"/>
          <w:tblHeader w:val="0"/>
        </w:trPr>
        <w:tc>
          <w:tcPr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Proxima Nova" w:cs="Proxima Nova" w:eastAsia="Proxima Nova" w:hAnsi="Proxima Nov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sz w:val="24"/>
                <w:szCs w:val="24"/>
                <w:rtl w:val="0"/>
              </w:rPr>
              <w:t xml:space="preserve">Fecha:</w:t>
            </w:r>
          </w:p>
        </w:tc>
        <w:tc>
          <w:tcPr>
            <w:gridSpan w:val="3"/>
            <w:tcBorders>
              <w:top w:color="cccccc" w:space="0" w:sz="5" w:val="single"/>
              <w:left w:color="cccccc" w:space="0" w:sz="5" w:val="single"/>
              <w:bottom w:color="cccccc" w:space="0" w:sz="5" w:val="single"/>
              <w:right w:color="cccccc" w:space="0" w:sz="5" w:val="single"/>
            </w:tcBorders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rFonts w:ascii="Proxima Nova" w:cs="Proxima Nova" w:eastAsia="Proxima Nova" w:hAnsi="Proxima Nova"/>
                <w:sz w:val="24"/>
                <w:szCs w:val="2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sz w:val="24"/>
                <w:szCs w:val="24"/>
                <w:rtl w:val="0"/>
              </w:rPr>
              <w:t xml:space="preserve">13/02/2025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Proxima Nova" w:cs="Proxima Nova" w:eastAsia="Proxima Nova" w:hAnsi="Proxima Nova"/>
        </w:rPr>
      </w:pPr>
      <w:bookmarkStart w:colFirst="0" w:colLast="0" w:name="_oo0vsh436xvo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0mbaxd6hk9x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vk1i7byt37dr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mounv61jpqnb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Lista de materiales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gxkr6v6xc0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Desarrollo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bq9dkv7yhcy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Conclusiones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ttx6znpd5jw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Bibliografía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rPr>
          <w:rFonts w:ascii="Proxima Nova" w:cs="Proxima Nova" w:eastAsia="Proxima Nova" w:hAnsi="Proxima Nova"/>
        </w:rPr>
      </w:pPr>
      <w:bookmarkStart w:colFirst="0" w:colLast="0" w:name="_5updyou819y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rFonts w:ascii="Proxima Nova" w:cs="Proxima Nova" w:eastAsia="Proxima Nova" w:hAnsi="Proxima Nova"/>
        </w:rPr>
      </w:pPr>
      <w:bookmarkStart w:colFirst="0" w:colLast="0" w:name="_r0mbaxd6hk9x" w:id="3"/>
      <w:bookmarkEnd w:id="3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Reforzar el uso de estructuras de control de selección en lenguaje C mediante la implementación de un programa.</w:t>
        <w:tab/>
      </w:r>
    </w:p>
    <w:p w:rsidR="00000000" w:rsidDel="00000000" w:rsidP="00000000" w:rsidRDefault="00000000" w:rsidRPr="00000000" w14:paraId="00000029">
      <w:pPr>
        <w:pStyle w:val="Heading1"/>
        <w:rPr>
          <w:rFonts w:ascii="Proxima Nova" w:cs="Proxima Nova" w:eastAsia="Proxima Nova" w:hAnsi="Proxima Nova"/>
        </w:rPr>
      </w:pPr>
      <w:bookmarkStart w:colFirst="0" w:colLast="0" w:name="_vk1i7byt37dr" w:id="4"/>
      <w:bookmarkEnd w:id="4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Descripción de la práctica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Escribe un programa en C que solicite al usuario ingresar tres valores enteros positivos correspondientes a los lados de un triángulo. Luego, el programa debe determinar y mostrar qué tipo de triángulo forman utilizando estructuras de control de selección (if-else y switch-case):</w:t>
      </w:r>
    </w:p>
    <w:p w:rsidR="00000000" w:rsidDel="00000000" w:rsidP="00000000" w:rsidRDefault="00000000" w:rsidRPr="00000000" w14:paraId="0000002B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Equilátero: si los tres lados son iguales.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Isósceles: si dos lados son iguales y el otro es diferente.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Escaleno: si los tres lados son diferentes.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Inválido: si los valores no cumplen con la regla del triángulo (la suma de dos lados debe ser mayor al tercero).</w:t>
      </w:r>
    </w:p>
    <w:p w:rsidR="00000000" w:rsidDel="00000000" w:rsidP="00000000" w:rsidRDefault="00000000" w:rsidRPr="00000000" w14:paraId="0000003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rFonts w:ascii="Proxima Nova" w:cs="Proxima Nova" w:eastAsia="Proxima Nova" w:hAnsi="Proxima Nova"/>
        </w:rPr>
      </w:pPr>
      <w:bookmarkStart w:colFirst="0" w:colLast="0" w:name="_bgxkr6v6xc0h" w:id="5"/>
      <w:bookmarkEnd w:id="5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Análisis de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363790" cy="7039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3790" cy="703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1ukg2fi07fc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Proxima Nova" w:cs="Proxima Nova" w:eastAsia="Proxima Nova" w:hAnsi="Proxima Nova"/>
          <w:sz w:val="52"/>
          <w:szCs w:val="52"/>
        </w:rPr>
      </w:pPr>
      <w:bookmarkStart w:colFirst="0" w:colLast="0" w:name="_bq9dkv7yhcye" w:id="7"/>
      <w:bookmarkEnd w:id="7"/>
      <w:r w:rsidDel="00000000" w:rsidR="00000000" w:rsidRPr="00000000">
        <w:rPr>
          <w:rFonts w:ascii="Proxima Nova" w:cs="Proxima Nova" w:eastAsia="Proxima Nova" w:hAnsi="Proxima Nova"/>
          <w:sz w:val="22"/>
          <w:szCs w:val="22"/>
        </w:rPr>
        <w:drawing>
          <wp:inline distB="114300" distT="114300" distL="114300" distR="114300">
            <wp:extent cx="5800725" cy="29432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Conclusiones</w:t>
      </w:r>
    </w:p>
    <w:p w:rsidR="00000000" w:rsidDel="00000000" w:rsidP="00000000" w:rsidRDefault="00000000" w:rsidRPr="00000000" w14:paraId="00000035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Batalle con comprender la parte inválido y que no lo detecte como triángulo isósceles, pero al final lo solucione, negando toda la afirmación necesaria para catalogarlo inválido, negándolo en la parte de evaluación del triángulo isósceles.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ttx6znpd5jwh" w:id="8"/>
      <w:bookmarkEnd w:id="8"/>
      <w:r w:rsidDel="00000000" w:rsidR="00000000" w:rsidRPr="00000000">
        <w:rPr>
          <w:rFonts w:ascii="Proxima Nova" w:cs="Proxima Nova" w:eastAsia="Proxima Nova" w:hAnsi="Proxima Nova"/>
          <w:sz w:val="52"/>
          <w:szCs w:val="52"/>
          <w:rtl w:val="0"/>
        </w:rPr>
        <w:t xml:space="preserve">Bibliografía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480" w:lineRule="auto"/>
        <w:ind w:left="720"/>
        <w:rPr>
          <w:rFonts w:ascii="Times New Roman" w:cs="Times New Roman" w:eastAsia="Times New Roman" w:hAnsi="Times New Roman"/>
          <w:color w:val="05103e"/>
        </w:rPr>
      </w:pPr>
      <w:r w:rsidDel="00000000" w:rsidR="00000000" w:rsidRPr="00000000">
        <w:rPr>
          <w:sz w:val="24"/>
          <w:szCs w:val="24"/>
          <w:rtl w:val="0"/>
        </w:rPr>
        <w:t xml:space="preserve">[1]</w:t>
        <w:tab/>
      </w:r>
      <w:r w:rsidDel="00000000" w:rsidR="00000000" w:rsidRPr="00000000">
        <w:rPr>
          <w:rtl w:val="0"/>
        </w:rPr>
        <w:t xml:space="preserve">TylerMSFT, “Instrucción switch (C),” Microsoft Learn, 04-Feb-2023. [Online]. Available: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https://learn.microsoft.com/es-es/cpp/c-language/switch-statement-c?view=msvc-170.</w:t>
        </w:r>
      </w:hyperlink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type w:val="nextPage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tl w:val="0"/>
      </w:rPr>
      <w:t xml:space="preserve">J. Osorio y M. Cruz</w:t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jc w:val="right"/>
      <w:rPr/>
    </w:pPr>
    <w:r w:rsidDel="00000000" w:rsidR="00000000" w:rsidRPr="00000000">
      <w:rPr>
        <w:rtl w:val="0"/>
      </w:rPr>
      <w:t xml:space="preserve">J. Osorio</w:t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spacing w:after="240" w:before="240" w:line="276" w:lineRule="auto"/>
      <w:ind w:right="360"/>
      <w:jc w:val="center"/>
      <w:rPr>
        <w:sz w:val="40"/>
        <w:szCs w:val="40"/>
      </w:rPr>
    </w:pPr>
    <w:r w:rsidDel="00000000" w:rsidR="00000000" w:rsidRPr="00000000">
      <w:rPr>
        <w:rtl w:val="0"/>
      </w:rPr>
      <w:t xml:space="preserve">UABC_FCQI_Cuadro_SistemasDeControl.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spacing w:line="276" w:lineRule="auto"/>
      <w:jc w:val="center"/>
      <w:rPr>
        <w:rFonts w:ascii="Proxima Nova" w:cs="Proxima Nova" w:eastAsia="Proxima Nova" w:hAnsi="Proxima Nova"/>
        <w:sz w:val="40"/>
        <w:szCs w:val="40"/>
      </w:rPr>
    </w:pPr>
    <w:r w:rsidDel="00000000" w:rsidR="00000000" w:rsidRPr="00000000">
      <w:rPr>
        <w:rFonts w:ascii="Proxima Nova" w:cs="Proxima Nova" w:eastAsia="Proxima Nova" w:hAnsi="Proxima Nova"/>
        <w:sz w:val="40"/>
        <w:szCs w:val="40"/>
        <w:rtl w:val="0"/>
      </w:rPr>
      <w:t xml:space="preserve">Universidad Autónoma de Baja California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-533399</wp:posOffset>
          </wp:positionH>
          <wp:positionV relativeFrom="paragraph">
            <wp:posOffset>-342899</wp:posOffset>
          </wp:positionV>
          <wp:extent cx="1056960" cy="144000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56960" cy="1440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5219700</wp:posOffset>
          </wp:positionH>
          <wp:positionV relativeFrom="paragraph">
            <wp:posOffset>-342899</wp:posOffset>
          </wp:positionV>
          <wp:extent cx="1440000" cy="14400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40000" cy="14400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D">
    <w:pPr>
      <w:spacing w:line="276" w:lineRule="auto"/>
      <w:jc w:val="center"/>
      <w:rPr>
        <w:rFonts w:ascii="Proxima Nova" w:cs="Proxima Nova" w:eastAsia="Proxima Nova" w:hAnsi="Proxima Nova"/>
      </w:rPr>
    </w:pPr>
    <w:r w:rsidDel="00000000" w:rsidR="00000000" w:rsidRPr="00000000">
      <w:rPr>
        <w:rFonts w:ascii="Proxima Nova" w:cs="Proxima Nova" w:eastAsia="Proxima Nova" w:hAnsi="Proxima Nova"/>
        <w:sz w:val="20"/>
        <w:szCs w:val="20"/>
        <w:rtl w:val="0"/>
      </w:rPr>
      <w:t xml:space="preserve">FACULTAD DE CIENCIAS QUÍMICAS E INGENIERÍA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earn.microsoft.com/es-es/cpp/c-language/switch-statement-c?view=msvc-170" TargetMode="External"/><Relationship Id="rId5" Type="http://schemas.openxmlformats.org/officeDocument/2006/relationships/styles" Target="styles.xml"/><Relationship Id="rId6" Type="http://schemas.openxmlformats.org/officeDocument/2006/relationships/hyperlink" Target="mailto:joshua.osorio@uabc.edu.mx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