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1F3864"/>
          <w:sz w:val="44"/>
          <w:szCs w:val="44"/>
        </w:rPr>
        <w:t xml:space="preserve">Méthodes de génération de cas de test</w:t>
      </w:r>
    </w:p>
    <w:p>
      <w:pPr>
        <w:spacing w:after="600"/>
        <w:jc w:val="center"/>
      </w:pPr>
      <w:r>
        <w:rPr>
          <w:color w:val="595959"/>
          <w:sz w:val="28"/>
          <w:szCs w:val="28"/>
        </w:rPr>
        <w:t xml:space="preserve">Panorama des approches officielles et non officielles, et apport des LLM</w:t>
      </w:r>
    </w:p>
    <w:p>
      <w:pPr>
        <w:jc w:val="center"/>
      </w:pPr>
      <w:r>
        <w:rPr>
          <w:i/>
          <w:iCs/>
          <w:sz w:val="22"/>
          <w:szCs w:val="22"/>
        </w:rPr>
        <w:t xml:space="preserve">Document de travail pour le mémoire de stage</w:t>
      </w:r>
    </w:p>
    <w:p>
      <w:r>
        <w:br w:type="page"/>
      </w:r>
    </w:p>
    <w:p>
      <w:pPr>
        <w:spacing w:after="200"/>
      </w:pPr>
      <w:r>
        <w:rPr>
          <w:b/>
          <w:bCs/>
          <w:color w:val="1F3864"/>
          <w:sz w:val="32"/>
          <w:szCs w:val="32"/>
        </w:rPr>
        <w:t xml:space="preserve">Sommaire</w:t>
      </w:r>
    </w:p>
    <w:sdt>
      <w:sdtPr>
        <w:alias w:val="Sommaire"/>
      </w:sdtPr>
      <w:sdtContent>
        <w:p>
          <w:r>
            <w:fldChar w:fldCharType="begin" w:dirty="true"/>
            <w:instrText xml:space="preserve">TOC \h \o "1-2"</w:instrText>
            <w:fldChar w:fldCharType="separate"/>
          </w:r>
        </w:p>
        <w:p>
          <w:r>
            <w:fldChar w:fldCharType="end"/>
          </w:r>
        </w:p>
      </w:sdtContent>
    </w:sdt>
    <w:p>
      <w:pPr>
        <w:spacing w:after="120"/>
      </w:pPr>
      <w:r>
        <w:rPr>
          <w:i/>
          <w:iCs/>
          <w:color w:val="808080"/>
          <w:sz w:val="18"/>
          <w:szCs w:val="18"/>
        </w:rPr>
        <w:t xml:space="preserve">Pour afficher le sommaire, faites un clic droit dessus dans Word, puis « Mettre à jour les champs ».</w:t>
      </w:r>
    </w:p>
    <w:p>
      <w:r>
        <w:br w:type="page"/>
      </w:r>
    </w:p>
    <w:p>
      <w:pPr>
        <w:pStyle w:val="Heading1"/>
        <w:spacing w:after="160" w:before="360"/>
      </w:pPr>
      <w:r>
        <w:t xml:space="preserve">Question posée</w:t>
      </w:r>
    </w:p>
    <w:p>
      <w:pPr>
        <w:pBdr>
          <w:left w:val="single" w:color="FF7900" w:sz="18" w:space="6"/>
        </w:pBdr>
        <w:shd w:fill="FFF4E5" w:val="clear"/>
        <w:spacing w:after="160" w:before="120"/>
        <w:ind w:left="200"/>
      </w:pPr>
      <w:r>
        <w:rPr>
          <w:i/>
          <w:iCs/>
        </w:rPr>
        <w:t xml:space="preserve">pour un memoir de stage informatique quelles sont les solutions officielles ou non (parlant de methode) pour generer des cas de test pour un projet specificique je veux presenter ces solutions dans mon rapport ensuite parmis ces solutions lesquelle peuvent se baser sur des LLM je ne suis pas encore sur les outils je parle de la demarche de la methode du processus disponible generer des cas de test pour un projet specificique.</w:t>
      </w:r>
    </w:p>
    <w:p>
      <w:pPr>
        <w:pStyle w:val="Heading1"/>
        <w:spacing w:after="160" w:before="360"/>
      </w:pPr>
      <w:r>
        <w:t xml:space="preserve">Partie I — Méthodes de génération de cas de test</w:t>
      </w:r>
    </w:p>
    <w:p>
      <w:pPr>
        <w:pStyle w:val="Heading2"/>
        <w:spacing w:after="120" w:before="280"/>
      </w:pPr>
      <w:r>
        <w:t xml:space="preserve">1. Cadre de référence</w:t>
      </w:r>
    </w:p>
    <w:p>
      <w:pPr>
        <w:spacing w:after="120"/>
      </w:pPr>
      <w:r>
        <w:rPr>
          <w:b/>
          <w:bCs/>
        </w:rPr>
        <w:t xml:space="preserve">Définition normalisée d'un cas de test</w:t>
      </w:r>
      <w:r>
        <w:t xml:space="preserve"> (ISO/IEC/IEEE 29119-3) : un identifiant, l'exigence couverte, les préconditions, les données d'entrée, les étapes, le </w:t>
      </w:r>
      <w:r>
        <w:rPr>
          <w:b/>
          <w:bCs/>
        </w:rPr>
        <w:t xml:space="preserve">résultat attendu</w:t>
      </w:r>
      <w:r>
        <w:t xml:space="preserve"> et les postconditions.</w:t>
      </w:r>
    </w:p>
    <w:p>
      <w:pPr>
        <w:spacing w:after="120"/>
      </w:pPr>
      <w:r>
        <w:rPr>
          <w:b/>
          <w:bCs/>
        </w:rPr>
        <w:t xml:space="preserve">Processus normalisé de conception des tests</w:t>
      </w:r>
      <w:r>
        <w:t xml:space="preserve"> (ISO/IEC/IEEE 29119-2), en quatre étapes :</w:t>
      </w:r>
    </w:p>
    <w:p>
      <w:pPr>
        <w:pStyle w:val="ListParagraph"/>
        <w:numPr>
          <w:ilvl w:val="0"/>
          <w:numId w:val="2"/>
        </w:numPr>
        <w:spacing w:after="60"/>
      </w:pPr>
      <w:r>
        <w:t xml:space="preserve">identifier les </w:t>
      </w:r>
      <w:r>
        <w:rPr>
          <w:b/>
          <w:bCs/>
        </w:rPr>
        <w:t xml:space="preserve">conditions de test</w:t>
      </w:r>
      <w:r>
        <w:t xml:space="preserve"> (ce qu'il faut vérifier) ;</w:t>
      </w:r>
    </w:p>
    <w:p>
      <w:pPr>
        <w:pStyle w:val="ListParagraph"/>
        <w:numPr>
          <w:ilvl w:val="0"/>
          <w:numId w:val="2"/>
        </w:numPr>
        <w:spacing w:after="60"/>
      </w:pPr>
      <w:r>
        <w:t xml:space="preserve">en déduire les </w:t>
      </w:r>
      <w:r>
        <w:rPr>
          <w:b/>
          <w:bCs/>
        </w:rPr>
        <w:t xml:space="preserve">éléments de couverture</w:t>
      </w:r>
      <w:r>
        <w:t xml:space="preserve"> ;</w:t>
      </w:r>
    </w:p>
    <w:p>
      <w:pPr>
        <w:pStyle w:val="ListParagraph"/>
        <w:numPr>
          <w:ilvl w:val="0"/>
          <w:numId w:val="2"/>
        </w:numPr>
        <w:spacing w:after="60"/>
      </w:pPr>
      <w:r>
        <w:t xml:space="preserve">dériver les </w:t>
      </w:r>
      <w:r>
        <w:rPr>
          <w:b/>
          <w:bCs/>
        </w:rPr>
        <w:t xml:space="preserve">cas de test</w:t>
      </w:r>
      <w:r>
        <w:t xml:space="preserve"> ;</w:t>
      </w:r>
    </w:p>
    <w:p>
      <w:pPr>
        <w:pStyle w:val="ListParagraph"/>
        <w:numPr>
          <w:ilvl w:val="0"/>
          <w:numId w:val="2"/>
        </w:numPr>
        <w:spacing w:after="60"/>
      </w:pPr>
      <w:r>
        <w:t xml:space="preserve">les assembler en </w:t>
      </w:r>
      <w:r>
        <w:rPr>
          <w:b/>
          <w:bCs/>
        </w:rPr>
        <w:t xml:space="preserve">procédures de test</w:t>
      </w:r>
      <w:r>
        <w:t xml:space="preserve">.</w:t>
      </w:r>
    </w:p>
    <w:p>
      <w:pPr>
        <w:spacing w:after="120"/>
      </w:pPr>
      <w:r>
        <w:rPr>
          <w:b/>
          <w:bCs/>
        </w:rPr>
        <w:t xml:space="preserve">Le problème de l'oracle</w:t>
      </w:r>
      <w:r>
        <w:t xml:space="preserve"> est la notion centrale. Générer des entrées est facile, mais savoir </w:t>
      </w:r>
      <w:r>
        <w:rPr>
          <w:b/>
          <w:bCs/>
        </w:rPr>
        <w:t xml:space="preserve">quel est le résultat correct</w:t>
      </w:r>
      <w:r>
        <w:t xml:space="preserve"> est difficile. Chaque méthode qui suit se distingue par la façon dont elle répond à cette question.</w:t>
      </w:r>
    </w:p>
    <w:p>
      <w:pPr>
        <w:spacing w:after="120"/>
      </w:pPr>
      <w:r>
        <w:rPr>
          <w:b/>
          <w:bCs/>
        </w:rPr>
        <w:t xml:space="preserve">Références officielles :</w:t>
      </w:r>
      <w:r>
        <w:t xml:space="preserve"> ISO/IEC/IEEE 29119 (parties 1 à 5), en particulier la partie 4 « Test techniques » ; syllabus ISTQB Foundation Level v4.0 (2023).</w:t>
      </w:r>
    </w:p>
    <w:p>
      <w:pPr>
        <w:pStyle w:val="Heading2"/>
        <w:spacing w:after="120" w:before="280"/>
      </w:pPr>
      <w:r>
        <w:t xml:space="preserve">2. Taxonomie des méthodes</w:t>
      </w:r>
    </w:p>
    <w:p>
      <w:pPr>
        <w:pStyle w:val="Heading3"/>
        <w:spacing w:after="100" w:before="200"/>
      </w:pPr>
      <w:r>
        <w:t xml:space="preserve">A. Méthodes basées sur la spécification (boîte noire) — normalisées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shd w:fill="1F3864" w:val="clear"/>
            <w:tcMar>
              <w:top w:type="dxa" w:w="60"/>
              <w:left w:type="dxa" w:w="100"/>
              <w:bottom w:type="dxa" w:w="60"/>
              <w:right w:type="dxa" w:w="100"/>
            </w:tcMar>
          </w:tcPr>
          <w:p>
            <w:r>
              <w:rPr>
                <w:b/>
                <w:bCs/>
                <w:color w:val="FFFFFF"/>
                <w:sz w:val="19"/>
                <w:szCs w:val="19"/>
              </w:rPr>
              <w:t xml:space="preserve">Méthode</w:t>
            </w:r>
          </w:p>
        </w:tc>
        <w:tc>
          <w:tcPr>
            <w:tcW w:type="dxa" w:w="6747"/>
            <w:shd w:fill="1F3864" w:val="clear"/>
            <w:tcMar>
              <w:top w:type="dxa" w:w="60"/>
              <w:left w:type="dxa" w:w="100"/>
              <w:bottom w:type="dxa" w:w="60"/>
              <w:right w:type="dxa" w:w="100"/>
            </w:tcMar>
          </w:tcPr>
          <w:p>
            <w:r>
              <w:rPr>
                <w:b/>
                <w:bCs/>
                <w:color w:val="FFFFFF"/>
                <w:sz w:val="19"/>
                <w:szCs w:val="19"/>
              </w:rPr>
              <w:t xml:space="preserve">Principe</w:t>
            </w:r>
          </w:p>
        </w:tc>
      </w:tr>
      <w:tr>
        <w:tc>
          <w:tcPr>
            <w:tcW w:type="dxa" w:w="2891"/>
            <w:tcMar>
              <w:top w:type="dxa" w:w="60"/>
              <w:left w:type="dxa" w:w="100"/>
              <w:bottom w:type="dxa" w:w="60"/>
              <w:right w:type="dxa" w:w="100"/>
            </w:tcMar>
          </w:tcPr>
          <w:p>
            <w:r>
              <w:rPr>
                <w:sz w:val="19"/>
                <w:szCs w:val="19"/>
              </w:rPr>
              <w:t xml:space="preserve">Partitions d'équivalence</w:t>
            </w:r>
          </w:p>
        </w:tc>
        <w:tc>
          <w:tcPr>
            <w:tcW w:type="dxa" w:w="6747"/>
            <w:tcMar>
              <w:top w:type="dxa" w:w="60"/>
              <w:left w:type="dxa" w:w="100"/>
              <w:bottom w:type="dxa" w:w="60"/>
              <w:right w:type="dxa" w:w="100"/>
            </w:tcMar>
          </w:tcPr>
          <w:p>
            <w:r>
              <w:rPr>
                <w:sz w:val="19"/>
                <w:szCs w:val="19"/>
              </w:rPr>
              <w:t xml:space="preserve">Découper le domaine d'entrée en classes au comportement identique, puis prendre un représentant par classe.</w:t>
            </w:r>
          </w:p>
        </w:tc>
      </w:tr>
      <w:tr>
        <w:tc>
          <w:tcPr>
            <w:tcW w:type="dxa" w:w="2891"/>
            <w:tcMar>
              <w:top w:type="dxa" w:w="60"/>
              <w:left w:type="dxa" w:w="100"/>
              <w:bottom w:type="dxa" w:w="60"/>
              <w:right w:type="dxa" w:w="100"/>
            </w:tcMar>
          </w:tcPr>
          <w:p>
            <w:r>
              <w:rPr>
                <w:sz w:val="19"/>
                <w:szCs w:val="19"/>
              </w:rPr>
              <w:t xml:space="preserve">Analyse des valeurs limites</w:t>
            </w:r>
          </w:p>
        </w:tc>
        <w:tc>
          <w:tcPr>
            <w:tcW w:type="dxa" w:w="6747"/>
            <w:tcMar>
              <w:top w:type="dxa" w:w="60"/>
              <w:left w:type="dxa" w:w="100"/>
              <w:bottom w:type="dxa" w:w="60"/>
              <w:right w:type="dxa" w:w="100"/>
            </w:tcMar>
          </w:tcPr>
          <w:p>
            <w:r>
              <w:rPr>
                <w:sz w:val="19"/>
                <w:szCs w:val="19"/>
              </w:rPr>
              <w:t xml:space="preserve">Tester les frontières des classes, là où se concentrent les erreurs.</w:t>
            </w:r>
          </w:p>
        </w:tc>
      </w:tr>
      <w:tr>
        <w:tc>
          <w:tcPr>
            <w:tcW w:type="dxa" w:w="2891"/>
            <w:tcMar>
              <w:top w:type="dxa" w:w="60"/>
              <w:left w:type="dxa" w:w="100"/>
              <w:bottom w:type="dxa" w:w="60"/>
              <w:right w:type="dxa" w:w="100"/>
            </w:tcMar>
          </w:tcPr>
          <w:p>
            <w:r>
              <w:rPr>
                <w:sz w:val="19"/>
                <w:szCs w:val="19"/>
              </w:rPr>
              <w:t xml:space="preserve">Tables de décision</w:t>
            </w:r>
          </w:p>
        </w:tc>
        <w:tc>
          <w:tcPr>
            <w:tcW w:type="dxa" w:w="6747"/>
            <w:tcMar>
              <w:top w:type="dxa" w:w="60"/>
              <w:left w:type="dxa" w:w="100"/>
              <w:bottom w:type="dxa" w:w="60"/>
              <w:right w:type="dxa" w:w="100"/>
            </w:tcMar>
          </w:tcPr>
          <w:p>
            <w:r>
              <w:rPr>
                <w:sz w:val="19"/>
                <w:szCs w:val="19"/>
              </w:rPr>
              <w:t xml:space="preserve">Énumérer les combinaisons de conditions et les actions attendues.</w:t>
            </w:r>
          </w:p>
        </w:tc>
      </w:tr>
      <w:tr>
        <w:tc>
          <w:tcPr>
            <w:tcW w:type="dxa" w:w="2891"/>
            <w:tcMar>
              <w:top w:type="dxa" w:w="60"/>
              <w:left w:type="dxa" w:w="100"/>
              <w:bottom w:type="dxa" w:w="60"/>
              <w:right w:type="dxa" w:w="100"/>
            </w:tcMar>
          </w:tcPr>
          <w:p>
            <w:r>
              <w:rPr>
                <w:sz w:val="19"/>
                <w:szCs w:val="19"/>
              </w:rPr>
              <w:t xml:space="preserve">Graphes cause-effet</w:t>
            </w:r>
          </w:p>
        </w:tc>
        <w:tc>
          <w:tcPr>
            <w:tcW w:type="dxa" w:w="6747"/>
            <w:tcMar>
              <w:top w:type="dxa" w:w="60"/>
              <w:left w:type="dxa" w:w="100"/>
              <w:bottom w:type="dxa" w:w="60"/>
              <w:right w:type="dxa" w:w="100"/>
            </w:tcMar>
          </w:tcPr>
          <w:p>
            <w:r>
              <w:rPr>
                <w:sz w:val="19"/>
                <w:szCs w:val="19"/>
              </w:rPr>
              <w:t xml:space="preserve">Modéliser les relations logiques entre causes et effets, puis en déduire une table de décision.</w:t>
            </w:r>
          </w:p>
        </w:tc>
      </w:tr>
      <w:tr>
        <w:tc>
          <w:tcPr>
            <w:tcW w:type="dxa" w:w="2891"/>
            <w:tcMar>
              <w:top w:type="dxa" w:w="60"/>
              <w:left w:type="dxa" w:w="100"/>
              <w:bottom w:type="dxa" w:w="60"/>
              <w:right w:type="dxa" w:w="100"/>
            </w:tcMar>
          </w:tcPr>
          <w:p>
            <w:r>
              <w:rPr>
                <w:sz w:val="19"/>
                <w:szCs w:val="19"/>
              </w:rPr>
              <w:t xml:space="preserve">Transitions d'état</w:t>
            </w:r>
          </w:p>
        </w:tc>
        <w:tc>
          <w:tcPr>
            <w:tcW w:type="dxa" w:w="6747"/>
            <w:tcMar>
              <w:top w:type="dxa" w:w="60"/>
              <w:left w:type="dxa" w:w="100"/>
              <w:bottom w:type="dxa" w:w="60"/>
              <w:right w:type="dxa" w:w="100"/>
            </w:tcMar>
          </w:tcPr>
          <w:p>
            <w:r>
              <w:rPr>
                <w:sz w:val="19"/>
                <w:szCs w:val="19"/>
              </w:rPr>
              <w:t xml:space="preserve">Couvrir les états, les transitions valides et les transitions invalides d'un automate.</w:t>
            </w:r>
          </w:p>
        </w:tc>
      </w:tr>
      <w:tr>
        <w:tc>
          <w:tcPr>
            <w:tcW w:type="dxa" w:w="2891"/>
            <w:tcMar>
              <w:top w:type="dxa" w:w="60"/>
              <w:left w:type="dxa" w:w="100"/>
              <w:bottom w:type="dxa" w:w="60"/>
              <w:right w:type="dxa" w:w="100"/>
            </w:tcMar>
          </w:tcPr>
          <w:p>
            <w:r>
              <w:rPr>
                <w:sz w:val="19"/>
                <w:szCs w:val="19"/>
              </w:rPr>
              <w:t xml:space="preserve">Cas d'utilisation / scénarios</w:t>
            </w:r>
          </w:p>
        </w:tc>
        <w:tc>
          <w:tcPr>
            <w:tcW w:type="dxa" w:w="6747"/>
            <w:tcMar>
              <w:top w:type="dxa" w:w="60"/>
              <w:left w:type="dxa" w:w="100"/>
              <w:bottom w:type="dxa" w:w="60"/>
              <w:right w:type="dxa" w:w="100"/>
            </w:tcMar>
          </w:tcPr>
          <w:p>
            <w:r>
              <w:rPr>
                <w:sz w:val="19"/>
                <w:szCs w:val="19"/>
              </w:rPr>
              <w:t xml:space="preserve">Dériver les tests des flux nominaux, alternatifs et d'exception.</w:t>
            </w:r>
          </w:p>
        </w:tc>
      </w:tr>
      <w:tr>
        <w:tc>
          <w:tcPr>
            <w:tcW w:type="dxa" w:w="2891"/>
            <w:tcMar>
              <w:top w:type="dxa" w:w="60"/>
              <w:left w:type="dxa" w:w="100"/>
              <w:bottom w:type="dxa" w:w="60"/>
              <w:right w:type="dxa" w:w="100"/>
            </w:tcMar>
          </w:tcPr>
          <w:p>
            <w:r>
              <w:rPr>
                <w:sz w:val="19"/>
                <w:szCs w:val="19"/>
              </w:rPr>
              <w:t xml:space="preserve">Arbre de classification</w:t>
            </w:r>
          </w:p>
        </w:tc>
        <w:tc>
          <w:tcPr>
            <w:tcW w:type="dxa" w:w="6747"/>
            <w:tcMar>
              <w:top w:type="dxa" w:w="60"/>
              <w:left w:type="dxa" w:w="100"/>
              <w:bottom w:type="dxa" w:w="60"/>
              <w:right w:type="dxa" w:w="100"/>
            </w:tcMar>
          </w:tcPr>
          <w:p>
            <w:r>
              <w:rPr>
                <w:sz w:val="19"/>
                <w:szCs w:val="19"/>
              </w:rPr>
              <w:t xml:space="preserve">Décomposer les paramètres en classifications et combiner les feuilles.</w:t>
            </w:r>
          </w:p>
        </w:tc>
      </w:tr>
      <w:tr>
        <w:tc>
          <w:tcPr>
            <w:tcW w:type="dxa" w:w="2891"/>
            <w:tcMar>
              <w:top w:type="dxa" w:w="60"/>
              <w:left w:type="dxa" w:w="100"/>
              <w:bottom w:type="dxa" w:w="60"/>
              <w:right w:type="dxa" w:w="100"/>
            </w:tcMar>
          </w:tcPr>
          <w:p>
            <w:r>
              <w:rPr>
                <w:sz w:val="19"/>
                <w:szCs w:val="19"/>
              </w:rPr>
              <w:t xml:space="preserve">Test combinatoire (pairwise, t-wise)</w:t>
            </w:r>
          </w:p>
        </w:tc>
        <w:tc>
          <w:tcPr>
            <w:tcW w:type="dxa" w:w="6747"/>
            <w:tcMar>
              <w:top w:type="dxa" w:w="60"/>
              <w:left w:type="dxa" w:w="100"/>
              <w:bottom w:type="dxa" w:w="60"/>
              <w:right w:type="dxa" w:w="100"/>
            </w:tcMar>
          </w:tcPr>
          <w:p>
            <w:r>
              <w:rPr>
                <w:sz w:val="19"/>
                <w:szCs w:val="19"/>
              </w:rPr>
              <w:t xml:space="preserve">Couvrir toutes les combinaisons de t paramètres. Les travaux du NIST (Kuhn et al.) montrent que la plupart des défauts impliquent peu de paramètres.</w:t>
            </w:r>
          </w:p>
        </w:tc>
      </w:tr>
    </w:tbl>
    <w:p>
      <w:pPr>
        <w:spacing w:after="120"/>
      </w:pPr>
    </w:p>
    <w:p>
      <w:pPr>
        <w:pStyle w:val="Heading3"/>
        <w:spacing w:after="100" w:before="200"/>
      </w:pPr>
      <w:r>
        <w:t xml:space="preserve">B. Méthodes basées sur la structure (boîte blanche) — normalisées</w:t>
      </w:r>
    </w:p>
    <w:p>
      <w:pPr>
        <w:pStyle w:val="ListParagraph"/>
        <w:numPr>
          <w:ilvl w:val="0"/>
          <w:numId w:val="3"/>
        </w:numPr>
        <w:spacing w:after="60"/>
      </w:pPr>
      <w:r>
        <w:t xml:space="preserve">Critères de couverture : instructions, branches, conditions, MC/DC, chemins, flot de données (définitions-utilisations).</w:t>
      </w:r>
    </w:p>
    <w:p>
      <w:pPr>
        <w:pStyle w:val="ListParagraph"/>
        <w:numPr>
          <w:ilvl w:val="0"/>
          <w:numId w:val="3"/>
        </w:numPr>
        <w:spacing w:after="60"/>
      </w:pPr>
      <w:r>
        <w:t xml:space="preserve">On dérive des cas de test pour atteindre un critère donné. Référence : Ammann &amp; Offutt, « Introduction to Software Testing ».</w:t>
      </w:r>
    </w:p>
    <w:p>
      <w:pPr>
        <w:pStyle w:val="Heading3"/>
        <w:spacing w:after="100" w:before="200"/>
      </w:pPr>
      <w:r>
        <w:t xml:space="preserve">C. Méthodes basées sur l'expérience — normalisées (ISTQB)</w:t>
      </w:r>
    </w:p>
    <w:p>
      <w:pPr>
        <w:pStyle w:val="ListParagraph"/>
        <w:numPr>
          <w:ilvl w:val="0"/>
          <w:numId w:val="3"/>
        </w:numPr>
        <w:spacing w:after="60"/>
      </w:pPr>
      <w:r>
        <w:rPr>
          <w:b/>
          <w:bCs/>
        </w:rPr>
        <w:t xml:space="preserve">Estimation d'erreurs</w:t>
      </w:r>
      <w:r>
        <w:t xml:space="preserve"> (error guessing) et attaques de fautes.</w:t>
      </w:r>
    </w:p>
    <w:p>
      <w:pPr>
        <w:pStyle w:val="ListParagraph"/>
        <w:numPr>
          <w:ilvl w:val="0"/>
          <w:numId w:val="3"/>
        </w:numPr>
        <w:spacing w:after="60"/>
      </w:pPr>
      <w:r>
        <w:rPr>
          <w:b/>
          <w:bCs/>
        </w:rPr>
        <w:t xml:space="preserve">Test exploratoire</w:t>
      </w:r>
      <w:r>
        <w:t xml:space="preserve"> (sessions avec charte, Bach &amp; Bolton) et « tours » (Whittaker).</w:t>
      </w:r>
    </w:p>
    <w:p>
      <w:pPr>
        <w:pStyle w:val="ListParagraph"/>
        <w:numPr>
          <w:ilvl w:val="0"/>
          <w:numId w:val="3"/>
        </w:numPr>
        <w:spacing w:after="60"/>
      </w:pPr>
      <w:r>
        <w:rPr>
          <w:b/>
          <w:bCs/>
        </w:rPr>
        <w:t xml:space="preserve">Tests par listes de contrôle</w:t>
      </w:r>
      <w:r>
        <w:t xml:space="preserve"> (checklists).</w:t>
      </w:r>
    </w:p>
    <w:p>
      <w:pPr>
        <w:pStyle w:val="Heading3"/>
        <w:spacing w:after="100" w:before="200"/>
      </w:pPr>
      <w:r>
        <w:t xml:space="preserve">D. Démarches méthodologiques (cadres de processus)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4819"/>
        <w:gridCol w:w="1928"/>
      </w:tblGrid>
      <w:tr>
        <w:trPr>
          <w:tblHeader/>
        </w:trPr>
        <w:tc>
          <w:tcPr>
            <w:tcW w:type="dxa" w:w="2891"/>
            <w:shd w:fill="1F3864" w:val="clear"/>
            <w:tcMar>
              <w:top w:type="dxa" w:w="60"/>
              <w:left w:type="dxa" w:w="100"/>
              <w:bottom w:type="dxa" w:w="60"/>
              <w:right w:type="dxa" w:w="100"/>
            </w:tcMar>
          </w:tcPr>
          <w:p>
            <w:r>
              <w:rPr>
                <w:b/>
                <w:bCs/>
                <w:color w:val="FFFFFF"/>
                <w:sz w:val="19"/>
                <w:szCs w:val="19"/>
              </w:rPr>
              <w:t xml:space="preserve">Démarche</w:t>
            </w:r>
          </w:p>
        </w:tc>
        <w:tc>
          <w:tcPr>
            <w:tcW w:type="dxa" w:w="4819"/>
            <w:shd w:fill="1F3864" w:val="clear"/>
            <w:tcMar>
              <w:top w:type="dxa" w:w="60"/>
              <w:left w:type="dxa" w:w="100"/>
              <w:bottom w:type="dxa" w:w="60"/>
              <w:right w:type="dxa" w:w="100"/>
            </w:tcMar>
          </w:tcPr>
          <w:p>
            <w:r>
              <w:rPr>
                <w:b/>
                <w:bCs/>
                <w:color w:val="FFFFFF"/>
                <w:sz w:val="19"/>
                <w:szCs w:val="19"/>
              </w:rPr>
              <w:t xml:space="preserve">Principe</w:t>
            </w:r>
          </w:p>
        </w:tc>
        <w:tc>
          <w:tcPr>
            <w:tcW w:type="dxa" w:w="1928"/>
            <w:shd w:fill="1F3864" w:val="clear"/>
            <w:tcMar>
              <w:top w:type="dxa" w:w="60"/>
              <w:left w:type="dxa" w:w="100"/>
              <w:bottom w:type="dxa" w:w="60"/>
              <w:right w:type="dxa" w:w="100"/>
            </w:tcMar>
          </w:tcPr>
          <w:p>
            <w:r>
              <w:rPr>
                <w:b/>
                <w:bCs/>
                <w:color w:val="FFFFFF"/>
                <w:sz w:val="19"/>
                <w:szCs w:val="19"/>
              </w:rPr>
              <w:t xml:space="preserve">Référence</w:t>
            </w:r>
          </w:p>
        </w:tc>
      </w:tr>
      <w:tr>
        <w:tc>
          <w:tcPr>
            <w:tcW w:type="dxa" w:w="2891"/>
            <w:tcMar>
              <w:top w:type="dxa" w:w="60"/>
              <w:left w:type="dxa" w:w="100"/>
              <w:bottom w:type="dxa" w:w="60"/>
              <w:right w:type="dxa" w:w="100"/>
            </w:tcMar>
          </w:tcPr>
          <w:p>
            <w:r>
              <w:rPr>
                <w:sz w:val="19"/>
                <w:szCs w:val="19"/>
              </w:rPr>
              <w:t xml:space="preserve">Test basé sur les exigences</w:t>
            </w:r>
          </w:p>
        </w:tc>
        <w:tc>
          <w:tcPr>
            <w:tcW w:type="dxa" w:w="4819"/>
            <w:tcMar>
              <w:top w:type="dxa" w:w="60"/>
              <w:left w:type="dxa" w:w="100"/>
              <w:bottom w:type="dxa" w:w="60"/>
              <w:right w:type="dxa" w:w="100"/>
            </w:tcMar>
          </w:tcPr>
          <w:p>
            <w:r>
              <w:rPr>
                <w:sz w:val="19"/>
                <w:szCs w:val="19"/>
              </w:rPr>
              <w:t xml:space="preserve">Chaque exigence donne au moins un cas de test, avec une matrice de traçabilité.</w:t>
            </w:r>
          </w:p>
        </w:tc>
        <w:tc>
          <w:tcPr>
            <w:tcW w:type="dxa" w:w="1928"/>
            <w:tcMar>
              <w:top w:type="dxa" w:w="60"/>
              <w:left w:type="dxa" w:w="100"/>
              <w:bottom w:type="dxa" w:w="60"/>
              <w:right w:type="dxa" w:w="100"/>
            </w:tcMar>
          </w:tcPr>
          <w:p>
            <w:r>
              <w:rPr>
                <w:sz w:val="19"/>
                <w:szCs w:val="19"/>
              </w:rPr>
              <w:t xml:space="preserve">ISTQB, IEEE</w:t>
            </w:r>
          </w:p>
        </w:tc>
      </w:tr>
      <w:tr>
        <w:tc>
          <w:tcPr>
            <w:tcW w:type="dxa" w:w="2891"/>
            <w:tcMar>
              <w:top w:type="dxa" w:w="60"/>
              <w:left w:type="dxa" w:w="100"/>
              <w:bottom w:type="dxa" w:w="60"/>
              <w:right w:type="dxa" w:w="100"/>
            </w:tcMar>
          </w:tcPr>
          <w:p>
            <w:r>
              <w:rPr>
                <w:sz w:val="19"/>
                <w:szCs w:val="19"/>
              </w:rPr>
              <w:t xml:space="preserve">Test basé sur les risques</w:t>
            </w:r>
          </w:p>
        </w:tc>
        <w:tc>
          <w:tcPr>
            <w:tcW w:type="dxa" w:w="4819"/>
            <w:tcMar>
              <w:top w:type="dxa" w:w="60"/>
              <w:left w:type="dxa" w:w="100"/>
              <w:bottom w:type="dxa" w:w="60"/>
              <w:right w:type="dxa" w:w="100"/>
            </w:tcMar>
          </w:tcPr>
          <w:p>
            <w:r>
              <w:rPr>
                <w:sz w:val="19"/>
                <w:szCs w:val="19"/>
              </w:rPr>
              <w:t xml:space="preserve">Prioriser et approfondir selon la probabilité et l'impact d'une défaillance.</w:t>
            </w:r>
          </w:p>
        </w:tc>
        <w:tc>
          <w:tcPr>
            <w:tcW w:type="dxa" w:w="1928"/>
            <w:tcMar>
              <w:top w:type="dxa" w:w="60"/>
              <w:left w:type="dxa" w:w="100"/>
              <w:bottom w:type="dxa" w:w="60"/>
              <w:right w:type="dxa" w:w="100"/>
            </w:tcMar>
          </w:tcPr>
          <w:p>
            <w:r>
              <w:rPr>
                <w:sz w:val="19"/>
                <w:szCs w:val="19"/>
              </w:rPr>
              <w:t xml:space="preserve">ISTQB, ISO 29119</w:t>
            </w:r>
          </w:p>
        </w:tc>
      </w:tr>
      <w:tr>
        <w:tc>
          <w:tcPr>
            <w:tcW w:type="dxa" w:w="2891"/>
            <w:tcMar>
              <w:top w:type="dxa" w:w="60"/>
              <w:left w:type="dxa" w:w="100"/>
              <w:bottom w:type="dxa" w:w="60"/>
              <w:right w:type="dxa" w:w="100"/>
            </w:tcMar>
          </w:tcPr>
          <w:p>
            <w:r>
              <w:rPr>
                <w:sz w:val="19"/>
                <w:szCs w:val="19"/>
              </w:rPr>
              <w:t xml:space="preserve">TDD</w:t>
            </w:r>
          </w:p>
        </w:tc>
        <w:tc>
          <w:tcPr>
            <w:tcW w:type="dxa" w:w="4819"/>
            <w:tcMar>
              <w:top w:type="dxa" w:w="60"/>
              <w:left w:type="dxa" w:w="100"/>
              <w:bottom w:type="dxa" w:w="60"/>
              <w:right w:type="dxa" w:w="100"/>
            </w:tcMar>
          </w:tcPr>
          <w:p>
            <w:r>
              <w:rPr>
                <w:sz w:val="19"/>
                <w:szCs w:val="19"/>
              </w:rPr>
              <w:t xml:space="preserve">Le test est écrit avant le code (cycle rouge → vert → refactorisation).</w:t>
            </w:r>
          </w:p>
        </w:tc>
        <w:tc>
          <w:tcPr>
            <w:tcW w:type="dxa" w:w="1928"/>
            <w:tcMar>
              <w:top w:type="dxa" w:w="60"/>
              <w:left w:type="dxa" w:w="100"/>
              <w:bottom w:type="dxa" w:w="60"/>
              <w:right w:type="dxa" w:w="100"/>
            </w:tcMar>
          </w:tcPr>
          <w:p>
            <w:r>
              <w:rPr>
                <w:sz w:val="19"/>
                <w:szCs w:val="19"/>
              </w:rPr>
              <w:t xml:space="preserve">Beck, 2002</w:t>
            </w:r>
          </w:p>
        </w:tc>
      </w:tr>
      <w:tr>
        <w:tc>
          <w:tcPr>
            <w:tcW w:type="dxa" w:w="2891"/>
            <w:tcMar>
              <w:top w:type="dxa" w:w="60"/>
              <w:left w:type="dxa" w:w="100"/>
              <w:bottom w:type="dxa" w:w="60"/>
              <w:right w:type="dxa" w:w="100"/>
            </w:tcMar>
          </w:tcPr>
          <w:p>
            <w:r>
              <w:rPr>
                <w:sz w:val="19"/>
                <w:szCs w:val="19"/>
              </w:rPr>
              <w:t xml:space="preserve">BDD / ATDD / Spécification par l'exemple</w:t>
            </w:r>
          </w:p>
        </w:tc>
        <w:tc>
          <w:tcPr>
            <w:tcW w:type="dxa" w:w="4819"/>
            <w:tcMar>
              <w:top w:type="dxa" w:w="60"/>
              <w:left w:type="dxa" w:w="100"/>
              <w:bottom w:type="dxa" w:w="60"/>
              <w:right w:type="dxa" w:w="100"/>
            </w:tcMar>
          </w:tcPr>
          <w:p>
            <w:r>
              <w:rPr>
                <w:sz w:val="19"/>
                <w:szCs w:val="19"/>
              </w:rPr>
              <w:t xml:space="preserve">Exemples concrets co-construits avec le métier, écrits en Gherkin (Étant donné / Quand / Alors).</w:t>
            </w:r>
          </w:p>
        </w:tc>
        <w:tc>
          <w:tcPr>
            <w:tcW w:type="dxa" w:w="1928"/>
            <w:tcMar>
              <w:top w:type="dxa" w:w="60"/>
              <w:left w:type="dxa" w:w="100"/>
              <w:bottom w:type="dxa" w:w="60"/>
              <w:right w:type="dxa" w:w="100"/>
            </w:tcMar>
          </w:tcPr>
          <w:p>
            <w:r>
              <w:rPr>
                <w:sz w:val="19"/>
                <w:szCs w:val="19"/>
              </w:rPr>
              <w:t xml:space="preserve">North, 2006 ; Adzic, 2011</w:t>
            </w:r>
          </w:p>
        </w:tc>
      </w:tr>
    </w:tbl>
    <w:p>
      <w:pPr>
        <w:spacing w:after="120"/>
      </w:pPr>
    </w:p>
    <w:p>
      <w:pPr>
        <w:pStyle w:val="Heading3"/>
        <w:spacing w:after="100" w:before="200"/>
      </w:pPr>
      <w:r>
        <w:t xml:space="preserve">E. Méthodes de génération automatique (recherche et industrie)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82"/>
        <w:gridCol w:w="3637"/>
        <w:gridCol w:w="1637"/>
        <w:gridCol w:w="2182"/>
      </w:tblGrid>
      <w:tr>
        <w:trPr>
          <w:tblHeader/>
        </w:trPr>
        <w:tc>
          <w:tcPr>
            <w:tcW w:type="dxa" w:w="2182"/>
            <w:shd w:fill="1F3864" w:val="clear"/>
            <w:tcMar>
              <w:top w:type="dxa" w:w="60"/>
              <w:left w:type="dxa" w:w="100"/>
              <w:bottom w:type="dxa" w:w="60"/>
              <w:right w:type="dxa" w:w="100"/>
            </w:tcMar>
          </w:tcPr>
          <w:p>
            <w:r>
              <w:rPr>
                <w:b/>
                <w:bCs/>
                <w:color w:val="FFFFFF"/>
                <w:sz w:val="19"/>
                <w:szCs w:val="19"/>
              </w:rPr>
              <w:t xml:space="preserve">Méthode</w:t>
            </w:r>
          </w:p>
        </w:tc>
        <w:tc>
          <w:tcPr>
            <w:tcW w:type="dxa" w:w="3637"/>
            <w:shd w:fill="1F3864" w:val="clear"/>
            <w:tcMar>
              <w:top w:type="dxa" w:w="60"/>
              <w:left w:type="dxa" w:w="100"/>
              <w:bottom w:type="dxa" w:w="60"/>
              <w:right w:type="dxa" w:w="100"/>
            </w:tcMar>
          </w:tcPr>
          <w:p>
            <w:r>
              <w:rPr>
                <w:b/>
                <w:bCs/>
                <w:color w:val="FFFFFF"/>
                <w:sz w:val="19"/>
                <w:szCs w:val="19"/>
              </w:rPr>
              <w:t xml:space="preserve">Principe</w:t>
            </w:r>
          </w:p>
        </w:tc>
        <w:tc>
          <w:tcPr>
            <w:tcW w:type="dxa" w:w="1637"/>
            <w:shd w:fill="1F3864" w:val="clear"/>
            <w:tcMar>
              <w:top w:type="dxa" w:w="60"/>
              <w:left w:type="dxa" w:w="100"/>
              <w:bottom w:type="dxa" w:w="60"/>
              <w:right w:type="dxa" w:w="100"/>
            </w:tcMar>
          </w:tcPr>
          <w:p>
            <w:r>
              <w:rPr>
                <w:b/>
                <w:bCs/>
                <w:color w:val="FFFFFF"/>
                <w:sz w:val="19"/>
                <w:szCs w:val="19"/>
              </w:rPr>
              <w:t xml:space="preserve">Oracle</w:t>
            </w:r>
          </w:p>
        </w:tc>
        <w:tc>
          <w:tcPr>
            <w:tcW w:type="dxa" w:w="2182"/>
            <w:shd w:fill="1F3864" w:val="clear"/>
            <w:tcMar>
              <w:top w:type="dxa" w:w="60"/>
              <w:left w:type="dxa" w:w="100"/>
              <w:bottom w:type="dxa" w:w="60"/>
              <w:right w:type="dxa" w:w="100"/>
            </w:tcMar>
          </w:tcPr>
          <w:p>
            <w:r>
              <w:rPr>
                <w:b/>
                <w:bCs/>
                <w:color w:val="FFFFFF"/>
                <w:sz w:val="19"/>
                <w:szCs w:val="19"/>
              </w:rPr>
              <w:t xml:space="preserve">Référence fondatrice</w:t>
            </w:r>
          </w:p>
        </w:tc>
      </w:tr>
      <w:tr>
        <w:tc>
          <w:tcPr>
            <w:tcW w:type="dxa" w:w="2182"/>
            <w:tcMar>
              <w:top w:type="dxa" w:w="60"/>
              <w:left w:type="dxa" w:w="100"/>
              <w:bottom w:type="dxa" w:w="60"/>
              <w:right w:type="dxa" w:w="100"/>
            </w:tcMar>
          </w:tcPr>
          <w:p>
            <w:r>
              <w:rPr>
                <w:sz w:val="19"/>
                <w:szCs w:val="19"/>
              </w:rPr>
              <w:t xml:space="preserve">Test aléatoire / aléatoire adaptatif</w:t>
            </w:r>
          </w:p>
        </w:tc>
        <w:tc>
          <w:tcPr>
            <w:tcW w:type="dxa" w:w="3637"/>
            <w:tcMar>
              <w:top w:type="dxa" w:w="60"/>
              <w:left w:type="dxa" w:w="100"/>
              <w:bottom w:type="dxa" w:w="60"/>
              <w:right w:type="dxa" w:w="100"/>
            </w:tcMar>
          </w:tcPr>
          <w:p>
            <w:r>
              <w:rPr>
                <w:sz w:val="19"/>
                <w:szCs w:val="19"/>
              </w:rPr>
              <w:t xml:space="preserve">Entrées tirées au hasard, éventuellement réparties pour mieux couvrir le domaine.</w:t>
            </w:r>
          </w:p>
        </w:tc>
        <w:tc>
          <w:tcPr>
            <w:tcW w:type="dxa" w:w="1637"/>
            <w:tcMar>
              <w:top w:type="dxa" w:w="60"/>
              <w:left w:type="dxa" w:w="100"/>
              <w:bottom w:type="dxa" w:w="60"/>
              <w:right w:type="dxa" w:w="100"/>
            </w:tcMar>
          </w:tcPr>
          <w:p>
            <w:r>
              <w:rPr>
                <w:sz w:val="19"/>
                <w:szCs w:val="19"/>
              </w:rPr>
              <w:t xml:space="preserve">Implicite (plantage)</w:t>
            </w:r>
          </w:p>
        </w:tc>
        <w:tc>
          <w:tcPr>
            <w:tcW w:type="dxa" w:w="2182"/>
            <w:tcMar>
              <w:top w:type="dxa" w:w="60"/>
              <w:left w:type="dxa" w:w="100"/>
              <w:bottom w:type="dxa" w:w="60"/>
              <w:right w:type="dxa" w:w="100"/>
            </w:tcMar>
          </w:tcPr>
          <w:p>
            <w:r>
              <w:rPr>
                <w:sz w:val="19"/>
                <w:szCs w:val="19"/>
              </w:rPr>
              <w:t xml:space="preserve">Pacheco et al., 2007</w:t>
            </w:r>
          </w:p>
        </w:tc>
      </w:tr>
      <w:tr>
        <w:tc>
          <w:tcPr>
            <w:tcW w:type="dxa" w:w="2182"/>
            <w:tcMar>
              <w:top w:type="dxa" w:w="60"/>
              <w:left w:type="dxa" w:w="100"/>
              <w:bottom w:type="dxa" w:w="60"/>
              <w:right w:type="dxa" w:w="100"/>
            </w:tcMar>
          </w:tcPr>
          <w:p>
            <w:r>
              <w:rPr>
                <w:sz w:val="19"/>
                <w:szCs w:val="19"/>
              </w:rPr>
              <w:t xml:space="preserve">Test basé sur la recherche (SBST)</w:t>
            </w:r>
          </w:p>
        </w:tc>
        <w:tc>
          <w:tcPr>
            <w:tcW w:type="dxa" w:w="3637"/>
            <w:tcMar>
              <w:top w:type="dxa" w:w="60"/>
              <w:left w:type="dxa" w:w="100"/>
              <w:bottom w:type="dxa" w:w="60"/>
              <w:right w:type="dxa" w:w="100"/>
            </w:tcMar>
          </w:tcPr>
          <w:p>
            <w:r>
              <w:rPr>
                <w:sz w:val="19"/>
                <w:szCs w:val="19"/>
              </w:rPr>
              <w:t xml:space="preserve">Algorithmes génétiques ou métaheuristiques qui maximisent une fonction objectif (couverture).</w:t>
            </w:r>
          </w:p>
        </w:tc>
        <w:tc>
          <w:tcPr>
            <w:tcW w:type="dxa" w:w="1637"/>
            <w:tcMar>
              <w:top w:type="dxa" w:w="60"/>
              <w:left w:type="dxa" w:w="100"/>
              <w:bottom w:type="dxa" w:w="60"/>
              <w:right w:type="dxa" w:w="100"/>
            </w:tcMar>
          </w:tcPr>
          <w:p>
            <w:r>
              <w:rPr>
                <w:sz w:val="19"/>
                <w:szCs w:val="19"/>
              </w:rPr>
              <w:t xml:space="preserve">Assertions de régression</w:t>
            </w:r>
          </w:p>
        </w:tc>
        <w:tc>
          <w:tcPr>
            <w:tcW w:type="dxa" w:w="2182"/>
            <w:tcMar>
              <w:top w:type="dxa" w:w="60"/>
              <w:left w:type="dxa" w:w="100"/>
              <w:bottom w:type="dxa" w:w="60"/>
              <w:right w:type="dxa" w:w="100"/>
            </w:tcMar>
          </w:tcPr>
          <w:p>
            <w:r>
              <w:rPr>
                <w:sz w:val="19"/>
                <w:szCs w:val="19"/>
              </w:rPr>
              <w:t xml:space="preserve">McMinn, 2004 ; Fraser &amp; Arcuri, 2011</w:t>
            </w:r>
          </w:p>
        </w:tc>
      </w:tr>
      <w:tr>
        <w:tc>
          <w:tcPr>
            <w:tcW w:type="dxa" w:w="2182"/>
            <w:tcMar>
              <w:top w:type="dxa" w:w="60"/>
              <w:left w:type="dxa" w:w="100"/>
              <w:bottom w:type="dxa" w:w="60"/>
              <w:right w:type="dxa" w:w="100"/>
            </w:tcMar>
          </w:tcPr>
          <w:p>
            <w:r>
              <w:rPr>
                <w:sz w:val="19"/>
                <w:szCs w:val="19"/>
              </w:rPr>
              <w:t xml:space="preserve">Exécution symbolique / concolique</w:t>
            </w:r>
          </w:p>
        </w:tc>
        <w:tc>
          <w:tcPr>
            <w:tcW w:type="dxa" w:w="3637"/>
            <w:tcMar>
              <w:top w:type="dxa" w:w="60"/>
              <w:left w:type="dxa" w:w="100"/>
              <w:bottom w:type="dxa" w:w="60"/>
              <w:right w:type="dxa" w:w="100"/>
            </w:tcMar>
          </w:tcPr>
          <w:p>
            <w:r>
              <w:rPr>
                <w:sz w:val="19"/>
                <w:szCs w:val="19"/>
              </w:rPr>
              <w:t xml:space="preserve">Résolution de contraintes sur les chemins du programme pour trouver les entrées qui les activent.</w:t>
            </w:r>
          </w:p>
        </w:tc>
        <w:tc>
          <w:tcPr>
            <w:tcW w:type="dxa" w:w="1637"/>
            <w:tcMar>
              <w:top w:type="dxa" w:w="60"/>
              <w:left w:type="dxa" w:w="100"/>
              <w:bottom w:type="dxa" w:w="60"/>
              <w:right w:type="dxa" w:w="100"/>
            </w:tcMar>
          </w:tcPr>
          <w:p>
            <w:r>
              <w:rPr>
                <w:sz w:val="19"/>
                <w:szCs w:val="19"/>
              </w:rPr>
              <w:t xml:space="preserve">Implicite</w:t>
            </w:r>
          </w:p>
        </w:tc>
        <w:tc>
          <w:tcPr>
            <w:tcW w:type="dxa" w:w="2182"/>
            <w:tcMar>
              <w:top w:type="dxa" w:w="60"/>
              <w:left w:type="dxa" w:w="100"/>
              <w:bottom w:type="dxa" w:w="60"/>
              <w:right w:type="dxa" w:w="100"/>
            </w:tcMar>
          </w:tcPr>
          <w:p>
            <w:r>
              <w:rPr>
                <w:sz w:val="19"/>
                <w:szCs w:val="19"/>
              </w:rPr>
              <w:t xml:space="preserve">King, 1976 ; Godefroid et al., 2005 ; Cadar et al., 2008</w:t>
            </w:r>
          </w:p>
        </w:tc>
      </w:tr>
      <w:tr>
        <w:tc>
          <w:tcPr>
            <w:tcW w:type="dxa" w:w="2182"/>
            <w:tcMar>
              <w:top w:type="dxa" w:w="60"/>
              <w:left w:type="dxa" w:w="100"/>
              <w:bottom w:type="dxa" w:w="60"/>
              <w:right w:type="dxa" w:w="100"/>
            </w:tcMar>
          </w:tcPr>
          <w:p>
            <w:r>
              <w:rPr>
                <w:sz w:val="19"/>
                <w:szCs w:val="19"/>
              </w:rPr>
              <w:t xml:space="preserve">Test basé sur les modèles (MBT)</w:t>
            </w:r>
          </w:p>
        </w:tc>
        <w:tc>
          <w:tcPr>
            <w:tcW w:type="dxa" w:w="3637"/>
            <w:tcMar>
              <w:top w:type="dxa" w:w="60"/>
              <w:left w:type="dxa" w:w="100"/>
              <w:bottom w:type="dxa" w:w="60"/>
              <w:right w:type="dxa" w:w="100"/>
            </w:tcMar>
          </w:tcPr>
          <w:p>
            <w:r>
              <w:rPr>
                <w:sz w:val="19"/>
                <w:szCs w:val="19"/>
              </w:rPr>
              <w:t xml:space="preserve">Un modèle formel (automate, UML, statecharts) sert à générer les chemins et les cas de test.</w:t>
            </w:r>
          </w:p>
        </w:tc>
        <w:tc>
          <w:tcPr>
            <w:tcW w:type="dxa" w:w="1637"/>
            <w:tcMar>
              <w:top w:type="dxa" w:w="60"/>
              <w:left w:type="dxa" w:w="100"/>
              <w:bottom w:type="dxa" w:w="60"/>
              <w:right w:type="dxa" w:w="100"/>
            </w:tcMar>
          </w:tcPr>
          <w:p>
            <w:r>
              <w:rPr>
                <w:sz w:val="19"/>
                <w:szCs w:val="19"/>
              </w:rPr>
              <w:t xml:space="preserve">Fourni par le modèle</w:t>
            </w:r>
          </w:p>
        </w:tc>
        <w:tc>
          <w:tcPr>
            <w:tcW w:type="dxa" w:w="2182"/>
            <w:tcMar>
              <w:top w:type="dxa" w:w="60"/>
              <w:left w:type="dxa" w:w="100"/>
              <w:bottom w:type="dxa" w:w="60"/>
              <w:right w:type="dxa" w:w="100"/>
            </w:tcMar>
          </w:tcPr>
          <w:p>
            <w:r>
              <w:rPr>
                <w:sz w:val="19"/>
                <w:szCs w:val="19"/>
              </w:rPr>
              <w:t xml:space="preserve">Utting &amp; Legeard, 2007</w:t>
            </w:r>
          </w:p>
        </w:tc>
      </w:tr>
      <w:tr>
        <w:tc>
          <w:tcPr>
            <w:tcW w:type="dxa" w:w="2182"/>
            <w:tcMar>
              <w:top w:type="dxa" w:w="60"/>
              <w:left w:type="dxa" w:w="100"/>
              <w:bottom w:type="dxa" w:w="60"/>
              <w:right w:type="dxa" w:w="100"/>
            </w:tcMar>
          </w:tcPr>
          <w:p>
            <w:r>
              <w:rPr>
                <w:sz w:val="19"/>
                <w:szCs w:val="19"/>
              </w:rPr>
              <w:t xml:space="preserve">Test basé sur les propriétés</w:t>
            </w:r>
          </w:p>
        </w:tc>
        <w:tc>
          <w:tcPr>
            <w:tcW w:type="dxa" w:w="3637"/>
            <w:tcMar>
              <w:top w:type="dxa" w:w="60"/>
              <w:left w:type="dxa" w:w="100"/>
              <w:bottom w:type="dxa" w:w="60"/>
              <w:right w:type="dxa" w:w="100"/>
            </w:tcMar>
          </w:tcPr>
          <w:p>
            <w:r>
              <w:rPr>
                <w:sz w:val="19"/>
                <w:szCs w:val="19"/>
              </w:rPr>
              <w:t xml:space="preserve">On déclare des invariants ; des entrées aléatoires sont générées et réduites au contre-exemple minimal.</w:t>
            </w:r>
          </w:p>
        </w:tc>
        <w:tc>
          <w:tcPr>
            <w:tcW w:type="dxa" w:w="1637"/>
            <w:tcMar>
              <w:top w:type="dxa" w:w="60"/>
              <w:left w:type="dxa" w:w="100"/>
              <w:bottom w:type="dxa" w:w="60"/>
              <w:right w:type="dxa" w:w="100"/>
            </w:tcMar>
          </w:tcPr>
          <w:p>
            <w:r>
              <w:rPr>
                <w:sz w:val="19"/>
                <w:szCs w:val="19"/>
              </w:rPr>
              <w:t xml:space="preserve">Les propriétés</w:t>
            </w:r>
          </w:p>
        </w:tc>
        <w:tc>
          <w:tcPr>
            <w:tcW w:type="dxa" w:w="2182"/>
            <w:tcMar>
              <w:top w:type="dxa" w:w="60"/>
              <w:left w:type="dxa" w:w="100"/>
              <w:bottom w:type="dxa" w:w="60"/>
              <w:right w:type="dxa" w:w="100"/>
            </w:tcMar>
          </w:tcPr>
          <w:p>
            <w:r>
              <w:rPr>
                <w:sz w:val="19"/>
                <w:szCs w:val="19"/>
              </w:rPr>
              <w:t xml:space="preserve">Claessen &amp; Hughes, 2000</w:t>
            </w:r>
          </w:p>
        </w:tc>
      </w:tr>
      <w:tr>
        <w:tc>
          <w:tcPr>
            <w:tcW w:type="dxa" w:w="2182"/>
            <w:tcMar>
              <w:top w:type="dxa" w:w="60"/>
              <w:left w:type="dxa" w:w="100"/>
              <w:bottom w:type="dxa" w:w="60"/>
              <w:right w:type="dxa" w:w="100"/>
            </w:tcMar>
          </w:tcPr>
          <w:p>
            <w:r>
              <w:rPr>
                <w:sz w:val="19"/>
                <w:szCs w:val="19"/>
              </w:rPr>
              <w:t xml:space="preserve">Test métamorphique</w:t>
            </w:r>
          </w:p>
        </w:tc>
        <w:tc>
          <w:tcPr>
            <w:tcW w:type="dxa" w:w="3637"/>
            <w:tcMar>
              <w:top w:type="dxa" w:w="60"/>
              <w:left w:type="dxa" w:w="100"/>
              <w:bottom w:type="dxa" w:w="60"/>
              <w:right w:type="dxa" w:w="100"/>
            </w:tcMar>
          </w:tcPr>
          <w:p>
            <w:r>
              <w:rPr>
                <w:sz w:val="19"/>
                <w:szCs w:val="19"/>
              </w:rPr>
              <w:t xml:space="preserve">Faute d'oracle, on vérifie des relations entre exécutions (ex. : ajouter un membre augmente le total de 1).</w:t>
            </w:r>
          </w:p>
        </w:tc>
        <w:tc>
          <w:tcPr>
            <w:tcW w:type="dxa" w:w="1637"/>
            <w:tcMar>
              <w:top w:type="dxa" w:w="60"/>
              <w:left w:type="dxa" w:w="100"/>
              <w:bottom w:type="dxa" w:w="60"/>
              <w:right w:type="dxa" w:w="100"/>
            </w:tcMar>
          </w:tcPr>
          <w:p>
            <w:r>
              <w:rPr>
                <w:sz w:val="19"/>
                <w:szCs w:val="19"/>
              </w:rPr>
              <w:t xml:space="preserve">Relations métamorphiques</w:t>
            </w:r>
          </w:p>
        </w:tc>
        <w:tc>
          <w:tcPr>
            <w:tcW w:type="dxa" w:w="2182"/>
            <w:tcMar>
              <w:top w:type="dxa" w:w="60"/>
              <w:left w:type="dxa" w:w="100"/>
              <w:bottom w:type="dxa" w:w="60"/>
              <w:right w:type="dxa" w:w="100"/>
            </w:tcMar>
          </w:tcPr>
          <w:p>
            <w:r>
              <w:rPr>
                <w:sz w:val="19"/>
                <w:szCs w:val="19"/>
              </w:rPr>
              <w:t xml:space="preserve">Chen et al., 1998</w:t>
            </w:r>
          </w:p>
        </w:tc>
      </w:tr>
      <w:tr>
        <w:tc>
          <w:tcPr>
            <w:tcW w:type="dxa" w:w="2182"/>
            <w:tcMar>
              <w:top w:type="dxa" w:w="60"/>
              <w:left w:type="dxa" w:w="100"/>
              <w:bottom w:type="dxa" w:w="60"/>
              <w:right w:type="dxa" w:w="100"/>
            </w:tcMar>
          </w:tcPr>
          <w:p>
            <w:r>
              <w:rPr>
                <w:sz w:val="19"/>
                <w:szCs w:val="19"/>
              </w:rPr>
              <w:t xml:space="preserve">Fuzzing</w:t>
            </w:r>
          </w:p>
        </w:tc>
        <w:tc>
          <w:tcPr>
            <w:tcW w:type="dxa" w:w="3637"/>
            <w:tcMar>
              <w:top w:type="dxa" w:w="60"/>
              <w:left w:type="dxa" w:w="100"/>
              <w:bottom w:type="dxa" w:w="60"/>
              <w:right w:type="dxa" w:w="100"/>
            </w:tcMar>
          </w:tcPr>
          <w:p>
            <w:r>
              <w:rPr>
                <w:sz w:val="19"/>
                <w:szCs w:val="19"/>
              </w:rPr>
              <w:t xml:space="preserve">Entrées massives, aléatoires ou mutées (boîte noire, grise ou blanche).</w:t>
            </w:r>
          </w:p>
        </w:tc>
        <w:tc>
          <w:tcPr>
            <w:tcW w:type="dxa" w:w="1637"/>
            <w:tcMar>
              <w:top w:type="dxa" w:w="60"/>
              <w:left w:type="dxa" w:w="100"/>
              <w:bottom w:type="dxa" w:w="60"/>
              <w:right w:type="dxa" w:w="100"/>
            </w:tcMar>
          </w:tcPr>
          <w:p>
            <w:r>
              <w:rPr>
                <w:sz w:val="19"/>
                <w:szCs w:val="19"/>
              </w:rPr>
              <w:t xml:space="preserve">Implicite (plantage, sécurité)</w:t>
            </w:r>
          </w:p>
        </w:tc>
        <w:tc>
          <w:tcPr>
            <w:tcW w:type="dxa" w:w="2182"/>
            <w:tcMar>
              <w:top w:type="dxa" w:w="60"/>
              <w:left w:type="dxa" w:w="100"/>
              <w:bottom w:type="dxa" w:w="60"/>
              <w:right w:type="dxa" w:w="100"/>
            </w:tcMar>
          </w:tcPr>
          <w:p>
            <w:r>
              <w:rPr>
                <w:sz w:val="19"/>
                <w:szCs w:val="19"/>
              </w:rPr>
              <w:t xml:space="preserve">Miller et al., 1990</w:t>
            </w:r>
          </w:p>
        </w:tc>
      </w:tr>
      <w:tr>
        <w:tc>
          <w:tcPr>
            <w:tcW w:type="dxa" w:w="2182"/>
            <w:tcMar>
              <w:top w:type="dxa" w:w="60"/>
              <w:left w:type="dxa" w:w="100"/>
              <w:bottom w:type="dxa" w:w="60"/>
              <w:right w:type="dxa" w:w="100"/>
            </w:tcMar>
          </w:tcPr>
          <w:p>
            <w:r>
              <w:rPr>
                <w:sz w:val="19"/>
                <w:szCs w:val="19"/>
              </w:rPr>
              <w:t xml:space="preserve">Test par mutation</w:t>
            </w:r>
          </w:p>
        </w:tc>
        <w:tc>
          <w:tcPr>
            <w:tcW w:type="dxa" w:w="3637"/>
            <w:tcMar>
              <w:top w:type="dxa" w:w="60"/>
              <w:left w:type="dxa" w:w="100"/>
              <w:bottom w:type="dxa" w:w="60"/>
              <w:right w:type="dxa" w:w="100"/>
            </w:tcMar>
          </w:tcPr>
          <w:p>
            <w:r>
              <w:rPr>
                <w:sz w:val="19"/>
                <w:szCs w:val="19"/>
              </w:rPr>
              <w:t xml:space="preserve">Injection de fautes artificielles pour évaluer une suite de tests et guider la génération de nouveaux tests.</w:t>
            </w:r>
          </w:p>
        </w:tc>
        <w:tc>
          <w:tcPr>
            <w:tcW w:type="dxa" w:w="1637"/>
            <w:tcMar>
              <w:top w:type="dxa" w:w="60"/>
              <w:left w:type="dxa" w:w="100"/>
              <w:bottom w:type="dxa" w:w="60"/>
              <w:right w:type="dxa" w:w="100"/>
            </w:tcMar>
          </w:tcPr>
          <w:p>
            <w:r>
              <w:rPr>
                <w:sz w:val="19"/>
                <w:szCs w:val="19"/>
              </w:rPr>
              <w:t xml:space="preserve">Mutant tué ou non</w:t>
            </w:r>
          </w:p>
        </w:tc>
        <w:tc>
          <w:tcPr>
            <w:tcW w:type="dxa" w:w="2182"/>
            <w:tcMar>
              <w:top w:type="dxa" w:w="60"/>
              <w:left w:type="dxa" w:w="100"/>
              <w:bottom w:type="dxa" w:w="60"/>
              <w:right w:type="dxa" w:w="100"/>
            </w:tcMar>
          </w:tcPr>
          <w:p>
            <w:r>
              <w:rPr>
                <w:sz w:val="19"/>
                <w:szCs w:val="19"/>
              </w:rPr>
              <w:t xml:space="preserve">DeMillo et al., 1978 ; Jia &amp; Harman, 2011</w:t>
            </w:r>
          </w:p>
        </w:tc>
      </w:tr>
      <w:tr>
        <w:tc>
          <w:tcPr>
            <w:tcW w:type="dxa" w:w="2182"/>
            <w:tcMar>
              <w:top w:type="dxa" w:w="60"/>
              <w:left w:type="dxa" w:w="100"/>
              <w:bottom w:type="dxa" w:w="60"/>
              <w:right w:type="dxa" w:w="100"/>
            </w:tcMar>
          </w:tcPr>
          <w:p>
            <w:r>
              <w:rPr>
                <w:sz w:val="19"/>
                <w:szCs w:val="19"/>
              </w:rPr>
              <w:t xml:space="preserve">Génération à partir des traces</w:t>
            </w:r>
          </w:p>
        </w:tc>
        <w:tc>
          <w:tcPr>
            <w:tcW w:type="dxa" w:w="3637"/>
            <w:tcMar>
              <w:top w:type="dxa" w:w="60"/>
              <w:left w:type="dxa" w:w="100"/>
              <w:bottom w:type="dxa" w:w="60"/>
              <w:right w:type="dxa" w:w="100"/>
            </w:tcMar>
          </w:tcPr>
          <w:p>
            <w:r>
              <w:rPr>
                <w:sz w:val="19"/>
                <w:szCs w:val="19"/>
              </w:rPr>
              <w:t xml:space="preserve">Les journaux de production et les sessions enregistrées sont rejoués.</w:t>
            </w:r>
          </w:p>
        </w:tc>
        <w:tc>
          <w:tcPr>
            <w:tcW w:type="dxa" w:w="1637"/>
            <w:tcMar>
              <w:top w:type="dxa" w:w="60"/>
              <w:left w:type="dxa" w:w="100"/>
              <w:bottom w:type="dxa" w:w="60"/>
              <w:right w:type="dxa" w:w="100"/>
            </w:tcMar>
          </w:tcPr>
          <w:p>
            <w:r>
              <w:rPr>
                <w:sz w:val="19"/>
                <w:szCs w:val="19"/>
              </w:rPr>
              <w:t xml:space="preserve">Comportement observé</w:t>
            </w:r>
          </w:p>
        </w:tc>
        <w:tc>
          <w:tcPr>
            <w:tcW w:type="dxa" w:w="2182"/>
            <w:tcMar>
              <w:top w:type="dxa" w:w="60"/>
              <w:left w:type="dxa" w:w="100"/>
              <w:bottom w:type="dxa" w:w="60"/>
              <w:right w:type="dxa" w:w="100"/>
            </w:tcMar>
          </w:tcPr>
          <w:p>
            <w:r>
              <w:rPr>
                <w:sz w:val="19"/>
                <w:szCs w:val="19"/>
              </w:rPr>
              <w:t xml:space="preserve">Capture / rejeu</w:t>
            </w:r>
          </w:p>
        </w:tc>
      </w:tr>
    </w:tbl>
    <w:p>
      <w:pPr>
        <w:spacing w:after="120"/>
      </w:pPr>
    </w:p>
    <w:p>
      <w:pPr>
        <w:pStyle w:val="Heading2"/>
        <w:spacing w:after="120" w:before="280"/>
      </w:pPr>
      <w:r>
        <w:t xml:space="preserve">3. Tableau comparatif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8"/>
        <w:gridCol w:w="1668"/>
        <w:gridCol w:w="1483"/>
        <w:gridCol w:w="2410"/>
        <w:gridCol w:w="2409"/>
      </w:tblGrid>
      <w:tr>
        <w:trPr>
          <w:tblHeader/>
        </w:trPr>
        <w:tc>
          <w:tcPr>
            <w:tcW w:type="dxa" w:w="1668"/>
            <w:shd w:fill="1F3864" w:val="clear"/>
            <w:tcMar>
              <w:top w:type="dxa" w:w="60"/>
              <w:left w:type="dxa" w:w="100"/>
              <w:bottom w:type="dxa" w:w="60"/>
              <w:right w:type="dxa" w:w="100"/>
            </w:tcMar>
          </w:tcPr>
          <w:p>
            <w:r>
              <w:rPr>
                <w:b/>
                <w:bCs/>
                <w:color w:val="FFFFFF"/>
                <w:sz w:val="19"/>
                <w:szCs w:val="19"/>
              </w:rPr>
              <w:t xml:space="preserve">Famille</w:t>
            </w:r>
          </w:p>
        </w:tc>
        <w:tc>
          <w:tcPr>
            <w:tcW w:type="dxa" w:w="1668"/>
            <w:shd w:fill="1F3864" w:val="clear"/>
            <w:tcMar>
              <w:top w:type="dxa" w:w="60"/>
              <w:left w:type="dxa" w:w="100"/>
              <w:bottom w:type="dxa" w:w="60"/>
              <w:right w:type="dxa" w:w="100"/>
            </w:tcMar>
          </w:tcPr>
          <w:p>
            <w:r>
              <w:rPr>
                <w:b/>
                <w:bCs/>
                <w:color w:val="FFFFFF"/>
                <w:sz w:val="19"/>
                <w:szCs w:val="19"/>
              </w:rPr>
              <w:t xml:space="preserve">Entrée nécessaire</w:t>
            </w:r>
          </w:p>
        </w:tc>
        <w:tc>
          <w:tcPr>
            <w:tcW w:type="dxa" w:w="1483"/>
            <w:shd w:fill="1F3864" w:val="clear"/>
            <w:tcMar>
              <w:top w:type="dxa" w:w="60"/>
              <w:left w:type="dxa" w:w="100"/>
              <w:bottom w:type="dxa" w:w="60"/>
              <w:right w:type="dxa" w:w="100"/>
            </w:tcMar>
          </w:tcPr>
          <w:p>
            <w:r>
              <w:rPr>
                <w:b/>
                <w:bCs/>
                <w:color w:val="FFFFFF"/>
                <w:sz w:val="19"/>
                <w:szCs w:val="19"/>
              </w:rPr>
              <w:t xml:space="preserve">Automatisation</w:t>
            </w:r>
          </w:p>
        </w:tc>
        <w:tc>
          <w:tcPr>
            <w:tcW w:type="dxa" w:w="2410"/>
            <w:shd w:fill="1F3864" w:val="clear"/>
            <w:tcMar>
              <w:top w:type="dxa" w:w="60"/>
              <w:left w:type="dxa" w:w="100"/>
              <w:bottom w:type="dxa" w:w="60"/>
              <w:right w:type="dxa" w:w="100"/>
            </w:tcMar>
          </w:tcPr>
          <w:p>
            <w:r>
              <w:rPr>
                <w:b/>
                <w:bCs/>
                <w:color w:val="FFFFFF"/>
                <w:sz w:val="19"/>
                <w:szCs w:val="19"/>
              </w:rPr>
              <w:t xml:space="preserve">Force</w:t>
            </w:r>
          </w:p>
        </w:tc>
        <w:tc>
          <w:tcPr>
            <w:tcW w:type="dxa" w:w="2409"/>
            <w:shd w:fill="1F3864" w:val="clear"/>
            <w:tcMar>
              <w:top w:type="dxa" w:w="60"/>
              <w:left w:type="dxa" w:w="100"/>
              <w:bottom w:type="dxa" w:w="60"/>
              <w:right w:type="dxa" w:w="100"/>
            </w:tcMar>
          </w:tcPr>
          <w:p>
            <w:r>
              <w:rPr>
                <w:b/>
                <w:bCs/>
                <w:color w:val="FFFFFF"/>
                <w:sz w:val="19"/>
                <w:szCs w:val="19"/>
              </w:rPr>
              <w:t xml:space="preserve">Limite</w:t>
            </w:r>
          </w:p>
        </w:tc>
      </w:tr>
      <w:tr>
        <w:tc>
          <w:tcPr>
            <w:tcW w:type="dxa" w:w="1668"/>
            <w:tcMar>
              <w:top w:type="dxa" w:w="60"/>
              <w:left w:type="dxa" w:w="100"/>
              <w:bottom w:type="dxa" w:w="60"/>
              <w:right w:type="dxa" w:w="100"/>
            </w:tcMar>
          </w:tcPr>
          <w:p>
            <w:r>
              <w:rPr>
                <w:sz w:val="19"/>
                <w:szCs w:val="19"/>
              </w:rPr>
              <w:t xml:space="preserve">Boîte noire (A)</w:t>
            </w:r>
          </w:p>
        </w:tc>
        <w:tc>
          <w:tcPr>
            <w:tcW w:type="dxa" w:w="1668"/>
            <w:tcMar>
              <w:top w:type="dxa" w:w="60"/>
              <w:left w:type="dxa" w:w="100"/>
              <w:bottom w:type="dxa" w:w="60"/>
              <w:right w:type="dxa" w:w="100"/>
            </w:tcMar>
          </w:tcPr>
          <w:p>
            <w:r>
              <w:rPr>
                <w:sz w:val="19"/>
                <w:szCs w:val="19"/>
              </w:rPr>
              <w:t xml:space="preserve">Spécification</w:t>
            </w:r>
          </w:p>
        </w:tc>
        <w:tc>
          <w:tcPr>
            <w:tcW w:type="dxa" w:w="1483"/>
            <w:tcMar>
              <w:top w:type="dxa" w:w="60"/>
              <w:left w:type="dxa" w:w="100"/>
              <w:bottom w:type="dxa" w:w="60"/>
              <w:right w:type="dxa" w:w="100"/>
            </w:tcMar>
          </w:tcPr>
          <w:p>
            <w:r>
              <w:rPr>
                <w:sz w:val="19"/>
                <w:szCs w:val="19"/>
              </w:rPr>
              <w:t xml:space="preserve">Faible à moyenne</w:t>
            </w:r>
          </w:p>
        </w:tc>
        <w:tc>
          <w:tcPr>
            <w:tcW w:type="dxa" w:w="2410"/>
            <w:tcMar>
              <w:top w:type="dxa" w:w="60"/>
              <w:left w:type="dxa" w:w="100"/>
              <w:bottom w:type="dxa" w:w="60"/>
              <w:right w:type="dxa" w:w="100"/>
            </w:tcMar>
          </w:tcPr>
          <w:p>
            <w:r>
              <w:rPr>
                <w:sz w:val="19"/>
                <w:szCs w:val="19"/>
              </w:rPr>
              <w:t xml:space="preserve">Proche du métier, détecte les exigences mal implémentées</w:t>
            </w:r>
          </w:p>
        </w:tc>
        <w:tc>
          <w:tcPr>
            <w:tcW w:type="dxa" w:w="2409"/>
            <w:tcMar>
              <w:top w:type="dxa" w:w="60"/>
              <w:left w:type="dxa" w:w="100"/>
              <w:bottom w:type="dxa" w:w="60"/>
              <w:right w:type="dxa" w:w="100"/>
            </w:tcMar>
          </w:tcPr>
          <w:p>
            <w:r>
              <w:rPr>
                <w:sz w:val="19"/>
                <w:szCs w:val="19"/>
              </w:rPr>
              <w:t xml:space="preserve">Dépend de la qualité de la spécification, travail manuel</w:t>
            </w:r>
          </w:p>
        </w:tc>
      </w:tr>
      <w:tr>
        <w:tc>
          <w:tcPr>
            <w:tcW w:type="dxa" w:w="1668"/>
            <w:tcMar>
              <w:top w:type="dxa" w:w="60"/>
              <w:left w:type="dxa" w:w="100"/>
              <w:bottom w:type="dxa" w:w="60"/>
              <w:right w:type="dxa" w:w="100"/>
            </w:tcMar>
          </w:tcPr>
          <w:p>
            <w:r>
              <w:rPr>
                <w:sz w:val="19"/>
                <w:szCs w:val="19"/>
              </w:rPr>
              <w:t xml:space="preserve">Boîte blanche (B)</w:t>
            </w:r>
          </w:p>
        </w:tc>
        <w:tc>
          <w:tcPr>
            <w:tcW w:type="dxa" w:w="1668"/>
            <w:tcMar>
              <w:top w:type="dxa" w:w="60"/>
              <w:left w:type="dxa" w:w="100"/>
              <w:bottom w:type="dxa" w:w="60"/>
              <w:right w:type="dxa" w:w="100"/>
            </w:tcMar>
          </w:tcPr>
          <w:p>
            <w:r>
              <w:rPr>
                <w:sz w:val="19"/>
                <w:szCs w:val="19"/>
              </w:rPr>
              <w:t xml:space="preserve">Code</w:t>
            </w:r>
          </w:p>
        </w:tc>
        <w:tc>
          <w:tcPr>
            <w:tcW w:type="dxa" w:w="1483"/>
            <w:tcMar>
              <w:top w:type="dxa" w:w="60"/>
              <w:left w:type="dxa" w:w="100"/>
              <w:bottom w:type="dxa" w:w="60"/>
              <w:right w:type="dxa" w:w="100"/>
            </w:tcMar>
          </w:tcPr>
          <w:p>
            <w:r>
              <w:rPr>
                <w:sz w:val="19"/>
                <w:szCs w:val="19"/>
              </w:rPr>
              <w:t xml:space="preserve">Moyenne</w:t>
            </w:r>
          </w:p>
        </w:tc>
        <w:tc>
          <w:tcPr>
            <w:tcW w:type="dxa" w:w="2410"/>
            <w:tcMar>
              <w:top w:type="dxa" w:w="60"/>
              <w:left w:type="dxa" w:w="100"/>
              <w:bottom w:type="dxa" w:w="60"/>
              <w:right w:type="dxa" w:w="100"/>
            </w:tcMar>
          </w:tcPr>
          <w:p>
            <w:r>
              <w:rPr>
                <w:sz w:val="19"/>
                <w:szCs w:val="19"/>
              </w:rPr>
              <w:t xml:space="preserve">Mesurable (couverture)</w:t>
            </w:r>
          </w:p>
        </w:tc>
        <w:tc>
          <w:tcPr>
            <w:tcW w:type="dxa" w:w="2409"/>
            <w:tcMar>
              <w:top w:type="dxa" w:w="60"/>
              <w:left w:type="dxa" w:w="100"/>
              <w:bottom w:type="dxa" w:w="60"/>
              <w:right w:type="dxa" w:w="100"/>
            </w:tcMar>
          </w:tcPr>
          <w:p>
            <w:r>
              <w:rPr>
                <w:sz w:val="19"/>
                <w:szCs w:val="19"/>
              </w:rPr>
              <w:t xml:space="preserve">Ne détecte pas les fonctions manquantes</w:t>
            </w:r>
          </w:p>
        </w:tc>
      </w:tr>
      <w:tr>
        <w:tc>
          <w:tcPr>
            <w:tcW w:type="dxa" w:w="1668"/>
            <w:tcMar>
              <w:top w:type="dxa" w:w="60"/>
              <w:left w:type="dxa" w:w="100"/>
              <w:bottom w:type="dxa" w:w="60"/>
              <w:right w:type="dxa" w:w="100"/>
            </w:tcMar>
          </w:tcPr>
          <w:p>
            <w:r>
              <w:rPr>
                <w:sz w:val="19"/>
                <w:szCs w:val="19"/>
              </w:rPr>
              <w:t xml:space="preserve">Expérience (C)</w:t>
            </w:r>
          </w:p>
        </w:tc>
        <w:tc>
          <w:tcPr>
            <w:tcW w:type="dxa" w:w="1668"/>
            <w:tcMar>
              <w:top w:type="dxa" w:w="60"/>
              <w:left w:type="dxa" w:w="100"/>
              <w:bottom w:type="dxa" w:w="60"/>
              <w:right w:type="dxa" w:w="100"/>
            </w:tcMar>
          </w:tcPr>
          <w:p>
            <w:r>
              <w:rPr>
                <w:sz w:val="19"/>
                <w:szCs w:val="19"/>
              </w:rPr>
              <w:t xml:space="preserve">Expertise humaine</w:t>
            </w:r>
          </w:p>
        </w:tc>
        <w:tc>
          <w:tcPr>
            <w:tcW w:type="dxa" w:w="1483"/>
            <w:tcMar>
              <w:top w:type="dxa" w:w="60"/>
              <w:left w:type="dxa" w:w="100"/>
              <w:bottom w:type="dxa" w:w="60"/>
              <w:right w:type="dxa" w:w="100"/>
            </w:tcMar>
          </w:tcPr>
          <w:p>
            <w:r>
              <w:rPr>
                <w:sz w:val="19"/>
                <w:szCs w:val="19"/>
              </w:rPr>
              <w:t xml:space="preserve">Faible</w:t>
            </w:r>
          </w:p>
        </w:tc>
        <w:tc>
          <w:tcPr>
            <w:tcW w:type="dxa" w:w="2410"/>
            <w:tcMar>
              <w:top w:type="dxa" w:w="60"/>
              <w:left w:type="dxa" w:w="100"/>
              <w:bottom w:type="dxa" w:w="60"/>
              <w:right w:type="dxa" w:w="100"/>
            </w:tcMar>
          </w:tcPr>
          <w:p>
            <w:r>
              <w:rPr>
                <w:sz w:val="19"/>
                <w:szCs w:val="19"/>
              </w:rPr>
              <w:t xml:space="preserve">Trouve les défauts inattendus</w:t>
            </w:r>
          </w:p>
        </w:tc>
        <w:tc>
          <w:tcPr>
            <w:tcW w:type="dxa" w:w="2409"/>
            <w:tcMar>
              <w:top w:type="dxa" w:w="60"/>
              <w:left w:type="dxa" w:w="100"/>
              <w:bottom w:type="dxa" w:w="60"/>
              <w:right w:type="dxa" w:w="100"/>
            </w:tcMar>
          </w:tcPr>
          <w:p>
            <w:r>
              <w:rPr>
                <w:sz w:val="19"/>
                <w:szCs w:val="19"/>
              </w:rPr>
              <w:t xml:space="preserve">Peu reproductible</w:t>
            </w:r>
          </w:p>
        </w:tc>
      </w:tr>
      <w:tr>
        <w:tc>
          <w:tcPr>
            <w:tcW w:type="dxa" w:w="1668"/>
            <w:tcMar>
              <w:top w:type="dxa" w:w="60"/>
              <w:left w:type="dxa" w:w="100"/>
              <w:bottom w:type="dxa" w:w="60"/>
              <w:right w:type="dxa" w:w="100"/>
            </w:tcMar>
          </w:tcPr>
          <w:p>
            <w:r>
              <w:rPr>
                <w:sz w:val="19"/>
                <w:szCs w:val="19"/>
              </w:rPr>
              <w:t xml:space="preserve">Démarches (D)</w:t>
            </w:r>
          </w:p>
        </w:tc>
        <w:tc>
          <w:tcPr>
            <w:tcW w:type="dxa" w:w="1668"/>
            <w:tcMar>
              <w:top w:type="dxa" w:w="60"/>
              <w:left w:type="dxa" w:w="100"/>
              <w:bottom w:type="dxa" w:w="60"/>
              <w:right w:type="dxa" w:w="100"/>
            </w:tcMar>
          </w:tcPr>
          <w:p>
            <w:r>
              <w:rPr>
                <w:sz w:val="19"/>
                <w:szCs w:val="19"/>
              </w:rPr>
              <w:t xml:space="preserve">Exigences, métier</w:t>
            </w:r>
          </w:p>
        </w:tc>
        <w:tc>
          <w:tcPr>
            <w:tcW w:type="dxa" w:w="1483"/>
            <w:tcMar>
              <w:top w:type="dxa" w:w="60"/>
              <w:left w:type="dxa" w:w="100"/>
              <w:bottom w:type="dxa" w:w="60"/>
              <w:right w:type="dxa" w:w="100"/>
            </w:tcMar>
          </w:tcPr>
          <w:p>
            <w:r>
              <w:rPr>
                <w:sz w:val="19"/>
                <w:szCs w:val="19"/>
              </w:rPr>
              <w:t xml:space="preserve">Variable</w:t>
            </w:r>
          </w:p>
        </w:tc>
        <w:tc>
          <w:tcPr>
            <w:tcW w:type="dxa" w:w="2410"/>
            <w:tcMar>
              <w:top w:type="dxa" w:w="60"/>
              <w:left w:type="dxa" w:w="100"/>
              <w:bottom w:type="dxa" w:w="60"/>
              <w:right w:type="dxa" w:w="100"/>
            </w:tcMar>
          </w:tcPr>
          <w:p>
            <w:r>
              <w:rPr>
                <w:sz w:val="19"/>
                <w:szCs w:val="19"/>
              </w:rPr>
              <w:t xml:space="preserve">Traçabilité, priorisation</w:t>
            </w:r>
          </w:p>
        </w:tc>
        <w:tc>
          <w:tcPr>
            <w:tcW w:type="dxa" w:w="2409"/>
            <w:tcMar>
              <w:top w:type="dxa" w:w="60"/>
              <w:left w:type="dxa" w:w="100"/>
              <w:bottom w:type="dxa" w:w="60"/>
              <w:right w:type="dxa" w:w="100"/>
            </w:tcMar>
          </w:tcPr>
          <w:p>
            <w:r>
              <w:rPr>
                <w:sz w:val="19"/>
                <w:szCs w:val="19"/>
              </w:rPr>
              <w:t xml:space="preserve">Ce sont des processus, pas des générateurs</w:t>
            </w:r>
          </w:p>
        </w:tc>
      </w:tr>
      <w:tr>
        <w:tc>
          <w:tcPr>
            <w:tcW w:type="dxa" w:w="1668"/>
            <w:tcMar>
              <w:top w:type="dxa" w:w="60"/>
              <w:left w:type="dxa" w:w="100"/>
              <w:bottom w:type="dxa" w:w="60"/>
              <w:right w:type="dxa" w:w="100"/>
            </w:tcMar>
          </w:tcPr>
          <w:p>
            <w:r>
              <w:rPr>
                <w:sz w:val="19"/>
                <w:szCs w:val="19"/>
              </w:rPr>
              <w:t xml:space="preserve">Automatiques (E)</w:t>
            </w:r>
          </w:p>
        </w:tc>
        <w:tc>
          <w:tcPr>
            <w:tcW w:type="dxa" w:w="1668"/>
            <w:tcMar>
              <w:top w:type="dxa" w:w="60"/>
              <w:left w:type="dxa" w:w="100"/>
              <w:bottom w:type="dxa" w:w="60"/>
              <w:right w:type="dxa" w:w="100"/>
            </w:tcMar>
          </w:tcPr>
          <w:p>
            <w:r>
              <w:rPr>
                <w:sz w:val="19"/>
                <w:szCs w:val="19"/>
              </w:rPr>
              <w:t xml:space="preserve">Code ou modèle</w:t>
            </w:r>
          </w:p>
        </w:tc>
        <w:tc>
          <w:tcPr>
            <w:tcW w:type="dxa" w:w="1483"/>
            <w:tcMar>
              <w:top w:type="dxa" w:w="60"/>
              <w:left w:type="dxa" w:w="100"/>
              <w:bottom w:type="dxa" w:w="60"/>
              <w:right w:type="dxa" w:w="100"/>
            </w:tcMar>
          </w:tcPr>
          <w:p>
            <w:r>
              <w:rPr>
                <w:sz w:val="19"/>
                <w:szCs w:val="19"/>
              </w:rPr>
              <w:t xml:space="preserve">Élevée</w:t>
            </w:r>
          </w:p>
        </w:tc>
        <w:tc>
          <w:tcPr>
            <w:tcW w:type="dxa" w:w="2410"/>
            <w:tcMar>
              <w:top w:type="dxa" w:w="60"/>
              <w:left w:type="dxa" w:w="100"/>
              <w:bottom w:type="dxa" w:w="60"/>
              <w:right w:type="dxa" w:w="100"/>
            </w:tcMar>
          </w:tcPr>
          <w:p>
            <w:r>
              <w:rPr>
                <w:sz w:val="19"/>
                <w:szCs w:val="19"/>
              </w:rPr>
              <w:t xml:space="preserve">Volume, couverture</w:t>
            </w:r>
          </w:p>
        </w:tc>
        <w:tc>
          <w:tcPr>
            <w:tcW w:type="dxa" w:w="2409"/>
            <w:tcMar>
              <w:top w:type="dxa" w:w="60"/>
              <w:left w:type="dxa" w:w="100"/>
              <w:bottom w:type="dxa" w:w="60"/>
              <w:right w:type="dxa" w:w="100"/>
            </w:tcMar>
          </w:tcPr>
          <w:p>
            <w:r>
              <w:rPr>
                <w:sz w:val="19"/>
                <w:szCs w:val="19"/>
              </w:rPr>
              <w:t xml:space="preserve">Problème de l'oracle, tests peu lisibles</w:t>
            </w:r>
          </w:p>
        </w:tc>
      </w:tr>
    </w:tbl>
    <w:p>
      <w:pPr>
        <w:spacing w:after="120"/>
      </w:pPr>
    </w:p>
    <w:p>
      <w:r>
        <w:br w:type="page"/>
      </w:r>
    </w:p>
    <w:p>
      <w:pPr>
        <w:pStyle w:val="Heading1"/>
        <w:spacing w:after="160" w:before="360"/>
      </w:pPr>
      <w:r>
        <w:t xml:space="preserve">Partie II — Méthodes pouvant s'appuyer sur un LLM</w:t>
      </w:r>
    </w:p>
    <w:p>
      <w:pPr>
        <w:pStyle w:val="Heading2"/>
        <w:spacing w:after="120" w:before="280"/>
      </w:pPr>
      <w:r>
        <w:t xml:space="preserve">1. Quatre rôles possibles pour un LLM</w:t>
      </w:r>
    </w:p>
    <w:p>
      <w:pPr>
        <w:spacing w:after="120"/>
      </w:pPr>
      <w:r>
        <w:t xml:space="preserve">Référence de synthèse : Wang et al., « Software Testing with Large Language Models: Survey, Landscape, and Vision », IEEE Transactions on Software Engineering, 2024.</w:t>
      </w:r>
    </w:p>
    <w:p>
      <w:pPr>
        <w:pStyle w:val="ListParagraph"/>
        <w:numPr>
          <w:ilvl w:val="0"/>
          <w:numId w:val="4"/>
        </w:numPr>
        <w:spacing w:after="60"/>
      </w:pPr>
      <w:r>
        <w:rPr>
          <w:b/>
          <w:bCs/>
        </w:rPr>
        <w:t xml:space="preserve">Le LLM remplace l'humain dans la conception</w:t>
      </w:r>
      <w:r>
        <w:t xml:space="preserve"> : il applique une méthode des familles A, C ou D à partir d'une spécification en langage naturel.</w:t>
      </w:r>
    </w:p>
    <w:p>
      <w:pPr>
        <w:pStyle w:val="ListParagraph"/>
        <w:numPr>
          <w:ilvl w:val="0"/>
          <w:numId w:val="4"/>
        </w:numPr>
        <w:spacing w:after="60"/>
      </w:pPr>
      <w:r>
        <w:rPr>
          <w:b/>
          <w:bCs/>
        </w:rPr>
        <w:t xml:space="preserve">Le LLM augmente une méthode automatique</w:t>
      </w:r>
      <w:r>
        <w:t xml:space="preserve"> : il débloque ou guide une méthode de la famille E (SBST, fuzzing, mutation).</w:t>
      </w:r>
    </w:p>
    <w:p>
      <w:pPr>
        <w:pStyle w:val="ListParagraph"/>
        <w:numPr>
          <w:ilvl w:val="0"/>
          <w:numId w:val="4"/>
        </w:numPr>
        <w:spacing w:after="60"/>
      </w:pPr>
      <w:r>
        <w:rPr>
          <w:b/>
          <w:bCs/>
        </w:rPr>
        <w:t xml:space="preserve">Le LLM produit l'oracle</w:t>
      </w:r>
      <w:r>
        <w:t xml:space="preserve"> : résultats attendus, assertions, propriétés ou relations métamorphiques, c'est-à-dire la partie la plus difficile.</w:t>
      </w:r>
    </w:p>
    <w:p>
      <w:pPr>
        <w:pStyle w:val="ListParagraph"/>
        <w:numPr>
          <w:ilvl w:val="0"/>
          <w:numId w:val="4"/>
        </w:numPr>
        <w:spacing w:after="60"/>
      </w:pPr>
      <w:r>
        <w:rPr>
          <w:b/>
          <w:bCs/>
        </w:rPr>
        <w:t xml:space="preserve">Le LLM produit les données</w:t>
      </w:r>
      <w:r>
        <w:t xml:space="preserve"> : jeux de données de test réalistes et variés.</w:t>
      </w:r>
    </w:p>
    <w:p>
      <w:pPr>
        <w:pStyle w:val="Heading2"/>
        <w:spacing w:after="120" w:before="280"/>
      </w:pPr>
      <w:r>
        <w:t xml:space="preserve">2. Applicabilité méthode par méthode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81"/>
        <w:gridCol w:w="1431"/>
        <w:gridCol w:w="3626"/>
        <w:gridCol w:w="2100"/>
      </w:tblGrid>
      <w:tr>
        <w:trPr>
          <w:tblHeader/>
        </w:trPr>
        <w:tc>
          <w:tcPr>
            <w:tcW w:type="dxa" w:w="2481"/>
            <w:shd w:fill="1F3864" w:val="clear"/>
            <w:tcMar>
              <w:top w:type="dxa" w:w="60"/>
              <w:left w:type="dxa" w:w="100"/>
              <w:bottom w:type="dxa" w:w="60"/>
              <w:right w:type="dxa" w:w="100"/>
            </w:tcMar>
          </w:tcPr>
          <w:p>
            <w:r>
              <w:rPr>
                <w:b/>
                <w:bCs/>
                <w:color w:val="FFFFFF"/>
                <w:sz w:val="19"/>
                <w:szCs w:val="19"/>
              </w:rPr>
              <w:t xml:space="preserve">Méthode</w:t>
            </w:r>
          </w:p>
        </w:tc>
        <w:tc>
          <w:tcPr>
            <w:tcW w:type="dxa" w:w="1431"/>
            <w:shd w:fill="1F3864" w:val="clear"/>
            <w:tcMar>
              <w:top w:type="dxa" w:w="60"/>
              <w:left w:type="dxa" w:w="100"/>
              <w:bottom w:type="dxa" w:w="60"/>
              <w:right w:type="dxa" w:w="100"/>
            </w:tcMar>
          </w:tcPr>
          <w:p>
            <w:r>
              <w:rPr>
                <w:b/>
                <w:bCs/>
                <w:color w:val="FFFFFF"/>
                <w:sz w:val="19"/>
                <w:szCs w:val="19"/>
              </w:rPr>
              <w:t xml:space="preserve">Adaptée au LLM ?</w:t>
            </w:r>
          </w:p>
        </w:tc>
        <w:tc>
          <w:tcPr>
            <w:tcW w:type="dxa" w:w="3626"/>
            <w:shd w:fill="1F3864" w:val="clear"/>
            <w:tcMar>
              <w:top w:type="dxa" w:w="60"/>
              <w:left w:type="dxa" w:w="100"/>
              <w:bottom w:type="dxa" w:w="60"/>
              <w:right w:type="dxa" w:w="100"/>
            </w:tcMar>
          </w:tcPr>
          <w:p>
            <w:r>
              <w:rPr>
                <w:b/>
                <w:bCs/>
                <w:color w:val="FFFFFF"/>
                <w:sz w:val="19"/>
                <w:szCs w:val="19"/>
              </w:rPr>
              <w:t xml:space="preserve">Rôle du LLM</w:t>
            </w:r>
          </w:p>
        </w:tc>
        <w:tc>
          <w:tcPr>
            <w:tcW w:type="dxa" w:w="2100"/>
            <w:shd w:fill="1F3864" w:val="clear"/>
            <w:tcMar>
              <w:top w:type="dxa" w:w="60"/>
              <w:left w:type="dxa" w:w="100"/>
              <w:bottom w:type="dxa" w:w="60"/>
              <w:right w:type="dxa" w:w="100"/>
            </w:tcMar>
          </w:tcPr>
          <w:p>
            <w:r>
              <w:rPr>
                <w:b/>
                <w:bCs/>
                <w:color w:val="FFFFFF"/>
                <w:sz w:val="19"/>
                <w:szCs w:val="19"/>
              </w:rPr>
              <w:t xml:space="preserve">Travaux de référence</w:t>
            </w:r>
          </w:p>
        </w:tc>
      </w:tr>
      <w:tr>
        <w:tc>
          <w:tcPr>
            <w:tcW w:type="dxa" w:w="2481"/>
            <w:tcMar>
              <w:top w:type="dxa" w:w="60"/>
              <w:left w:type="dxa" w:w="100"/>
              <w:bottom w:type="dxa" w:w="60"/>
              <w:right w:type="dxa" w:w="100"/>
            </w:tcMar>
          </w:tcPr>
          <w:p>
            <w:r>
              <w:rPr>
                <w:sz w:val="19"/>
                <w:szCs w:val="19"/>
              </w:rPr>
              <w:t xml:space="preserve">Partitions, valeurs limites, tables de décision, transitions d'état</w:t>
            </w:r>
          </w:p>
        </w:tc>
        <w:tc>
          <w:tcPr>
            <w:tcW w:type="dxa" w:w="1431"/>
            <w:tcMar>
              <w:top w:type="dxa" w:w="60"/>
              <w:left w:type="dxa" w:w="100"/>
              <w:bottom w:type="dxa" w:w="60"/>
              <w:right w:type="dxa" w:w="100"/>
            </w:tcMar>
          </w:tcPr>
          <w:p>
            <w:r>
              <w:rPr>
                <w:sz w:val="19"/>
                <w:szCs w:val="19"/>
              </w:rPr>
              <w:t xml:space="preserve">Forte</w:t>
            </w:r>
          </w:p>
        </w:tc>
        <w:tc>
          <w:tcPr>
            <w:tcW w:type="dxa" w:w="3626"/>
            <w:tcMar>
              <w:top w:type="dxa" w:w="60"/>
              <w:left w:type="dxa" w:w="100"/>
              <w:bottom w:type="dxa" w:w="60"/>
              <w:right w:type="dxa" w:w="100"/>
            </w:tcMar>
          </w:tcPr>
          <w:p>
            <w:r>
              <w:rPr>
                <w:sz w:val="19"/>
                <w:szCs w:val="19"/>
              </w:rPr>
              <w:t xml:space="preserve">Extraire les classes, limites, conditions et états à partir de la spécification, puis dériver les cas.</w:t>
            </w:r>
          </w:p>
        </w:tc>
        <w:tc>
          <w:tcPr>
            <w:tcW w:type="dxa" w:w="2100"/>
            <w:tcMar>
              <w:top w:type="dxa" w:w="60"/>
              <w:left w:type="dxa" w:w="100"/>
              <w:bottom w:type="dxa" w:w="60"/>
              <w:right w:type="dxa" w:w="100"/>
            </w:tcMar>
          </w:tcPr>
          <w:p>
            <w:r>
              <w:rPr>
                <w:sz w:val="19"/>
                <w:szCs w:val="19"/>
              </w:rPr>
              <w:t xml:space="preserve">—</w:t>
            </w:r>
          </w:p>
        </w:tc>
      </w:tr>
      <w:tr>
        <w:tc>
          <w:tcPr>
            <w:tcW w:type="dxa" w:w="2481"/>
            <w:tcMar>
              <w:top w:type="dxa" w:w="60"/>
              <w:left w:type="dxa" w:w="100"/>
              <w:bottom w:type="dxa" w:w="60"/>
              <w:right w:type="dxa" w:w="100"/>
            </w:tcMar>
          </w:tcPr>
          <w:p>
            <w:r>
              <w:rPr>
                <w:sz w:val="19"/>
                <w:szCs w:val="19"/>
              </w:rPr>
              <w:t xml:space="preserve">Cas d'utilisation / scénarios</w:t>
            </w:r>
          </w:p>
        </w:tc>
        <w:tc>
          <w:tcPr>
            <w:tcW w:type="dxa" w:w="1431"/>
            <w:tcMar>
              <w:top w:type="dxa" w:w="60"/>
              <w:left w:type="dxa" w:w="100"/>
              <w:bottom w:type="dxa" w:w="60"/>
              <w:right w:type="dxa" w:w="100"/>
            </w:tcMar>
          </w:tcPr>
          <w:p>
            <w:r>
              <w:rPr>
                <w:sz w:val="19"/>
                <w:szCs w:val="19"/>
              </w:rPr>
              <w:t xml:space="preserve">Forte</w:t>
            </w:r>
          </w:p>
        </w:tc>
        <w:tc>
          <w:tcPr>
            <w:tcW w:type="dxa" w:w="3626"/>
            <w:tcMar>
              <w:top w:type="dxa" w:w="60"/>
              <w:left w:type="dxa" w:w="100"/>
              <w:bottom w:type="dxa" w:w="60"/>
              <w:right w:type="dxa" w:w="100"/>
            </w:tcMar>
          </w:tcPr>
          <w:p>
            <w:r>
              <w:rPr>
                <w:sz w:val="19"/>
                <w:szCs w:val="19"/>
              </w:rPr>
              <w:t xml:space="preserve">Générer les flux nominaux, alternatifs et d'exception.</w:t>
            </w:r>
          </w:p>
        </w:tc>
        <w:tc>
          <w:tcPr>
            <w:tcW w:type="dxa" w:w="2100"/>
            <w:tcMar>
              <w:top w:type="dxa" w:w="60"/>
              <w:left w:type="dxa" w:w="100"/>
              <w:bottom w:type="dxa" w:w="60"/>
              <w:right w:type="dxa" w:w="100"/>
            </w:tcMar>
          </w:tcPr>
          <w:p>
            <w:r>
              <w:rPr>
                <w:sz w:val="19"/>
                <w:szCs w:val="19"/>
              </w:rPr>
              <w:t xml:space="preserve">—</w:t>
            </w:r>
          </w:p>
        </w:tc>
      </w:tr>
      <w:tr>
        <w:tc>
          <w:tcPr>
            <w:tcW w:type="dxa" w:w="2481"/>
            <w:tcMar>
              <w:top w:type="dxa" w:w="60"/>
              <w:left w:type="dxa" w:w="100"/>
              <w:bottom w:type="dxa" w:w="60"/>
              <w:right w:type="dxa" w:w="100"/>
            </w:tcMar>
          </w:tcPr>
          <w:p>
            <w:r>
              <w:rPr>
                <w:sz w:val="19"/>
                <w:szCs w:val="19"/>
              </w:rPr>
              <w:t xml:space="preserve">Combinatoire (pairwise)</w:t>
            </w:r>
          </w:p>
        </w:tc>
        <w:tc>
          <w:tcPr>
            <w:tcW w:type="dxa" w:w="1431"/>
            <w:tcMar>
              <w:top w:type="dxa" w:w="60"/>
              <w:left w:type="dxa" w:w="100"/>
              <w:bottom w:type="dxa" w:w="60"/>
              <w:right w:type="dxa" w:w="100"/>
            </w:tcMar>
          </w:tcPr>
          <w:p>
            <w:r>
              <w:rPr>
                <w:sz w:val="19"/>
                <w:szCs w:val="19"/>
              </w:rPr>
              <w:t xml:space="preserve">Moyenne</w:t>
            </w:r>
          </w:p>
        </w:tc>
        <w:tc>
          <w:tcPr>
            <w:tcW w:type="dxa" w:w="3626"/>
            <w:tcMar>
              <w:top w:type="dxa" w:w="60"/>
              <w:left w:type="dxa" w:w="100"/>
              <w:bottom w:type="dxa" w:w="60"/>
              <w:right w:type="dxa" w:w="100"/>
            </w:tcMar>
          </w:tcPr>
          <w:p>
            <w:r>
              <w:rPr>
                <w:sz w:val="19"/>
                <w:szCs w:val="19"/>
              </w:rPr>
              <w:t xml:space="preserve">Identifier les paramètres et leurs valeurs ; la combinaison reste algorithmique (plus fiable).</w:t>
            </w:r>
          </w:p>
        </w:tc>
        <w:tc>
          <w:tcPr>
            <w:tcW w:type="dxa" w:w="2100"/>
            <w:tcMar>
              <w:top w:type="dxa" w:w="60"/>
              <w:left w:type="dxa" w:w="100"/>
              <w:bottom w:type="dxa" w:w="60"/>
              <w:right w:type="dxa" w:w="100"/>
            </w:tcMar>
          </w:tcPr>
          <w:p>
            <w:r>
              <w:rPr>
                <w:sz w:val="19"/>
                <w:szCs w:val="19"/>
              </w:rPr>
              <w:t xml:space="preserve">—</w:t>
            </w:r>
          </w:p>
        </w:tc>
      </w:tr>
      <w:tr>
        <w:tc>
          <w:tcPr>
            <w:tcW w:type="dxa" w:w="2481"/>
            <w:tcMar>
              <w:top w:type="dxa" w:w="60"/>
              <w:left w:type="dxa" w:w="100"/>
              <w:bottom w:type="dxa" w:w="60"/>
              <w:right w:type="dxa" w:w="100"/>
            </w:tcMar>
          </w:tcPr>
          <w:p>
            <w:r>
              <w:rPr>
                <w:sz w:val="19"/>
                <w:szCs w:val="19"/>
              </w:rPr>
              <w:t xml:space="preserve">Test basé sur les exigences</w:t>
            </w:r>
          </w:p>
        </w:tc>
        <w:tc>
          <w:tcPr>
            <w:tcW w:type="dxa" w:w="1431"/>
            <w:tcMar>
              <w:top w:type="dxa" w:w="60"/>
              <w:left w:type="dxa" w:w="100"/>
              <w:bottom w:type="dxa" w:w="60"/>
              <w:right w:type="dxa" w:w="100"/>
            </w:tcMar>
          </w:tcPr>
          <w:p>
            <w:r>
              <w:rPr>
                <w:sz w:val="19"/>
                <w:szCs w:val="19"/>
              </w:rPr>
              <w:t xml:space="preserve">Forte</w:t>
            </w:r>
          </w:p>
        </w:tc>
        <w:tc>
          <w:tcPr>
            <w:tcW w:type="dxa" w:w="3626"/>
            <w:tcMar>
              <w:top w:type="dxa" w:w="60"/>
              <w:left w:type="dxa" w:w="100"/>
              <w:bottom w:type="dxa" w:w="60"/>
              <w:right w:type="dxa" w:w="100"/>
            </w:tcMar>
          </w:tcPr>
          <w:p>
            <w:r>
              <w:rPr>
                <w:sz w:val="19"/>
                <w:szCs w:val="19"/>
              </w:rPr>
              <w:t xml:space="preserve">Lier chaque exigence à ses cas, détecter les exigences non couvertes.</w:t>
            </w:r>
          </w:p>
        </w:tc>
        <w:tc>
          <w:tcPr>
            <w:tcW w:type="dxa" w:w="2100"/>
            <w:tcMar>
              <w:top w:type="dxa" w:w="60"/>
              <w:left w:type="dxa" w:w="100"/>
              <w:bottom w:type="dxa" w:w="60"/>
              <w:right w:type="dxa" w:w="100"/>
            </w:tcMar>
          </w:tcPr>
          <w:p>
            <w:r>
              <w:rPr>
                <w:sz w:val="19"/>
                <w:szCs w:val="19"/>
              </w:rPr>
              <w:t xml:space="preserve">—</w:t>
            </w:r>
          </w:p>
        </w:tc>
      </w:tr>
      <w:tr>
        <w:tc>
          <w:tcPr>
            <w:tcW w:type="dxa" w:w="2481"/>
            <w:tcMar>
              <w:top w:type="dxa" w:w="60"/>
              <w:left w:type="dxa" w:w="100"/>
              <w:bottom w:type="dxa" w:w="60"/>
              <w:right w:type="dxa" w:w="100"/>
            </w:tcMar>
          </w:tcPr>
          <w:p>
            <w:r>
              <w:rPr>
                <w:sz w:val="19"/>
                <w:szCs w:val="19"/>
              </w:rPr>
              <w:t xml:space="preserve">Test basé sur les risques</w:t>
            </w:r>
          </w:p>
        </w:tc>
        <w:tc>
          <w:tcPr>
            <w:tcW w:type="dxa" w:w="1431"/>
            <w:tcMar>
              <w:top w:type="dxa" w:w="60"/>
              <w:left w:type="dxa" w:w="100"/>
              <w:bottom w:type="dxa" w:w="60"/>
              <w:right w:type="dxa" w:w="100"/>
            </w:tcMar>
          </w:tcPr>
          <w:p>
            <w:r>
              <w:rPr>
                <w:sz w:val="19"/>
                <w:szCs w:val="19"/>
              </w:rPr>
              <w:t xml:space="preserve">Moyenne</w:t>
            </w:r>
          </w:p>
        </w:tc>
        <w:tc>
          <w:tcPr>
            <w:tcW w:type="dxa" w:w="3626"/>
            <w:tcMar>
              <w:top w:type="dxa" w:w="60"/>
              <w:left w:type="dxa" w:w="100"/>
              <w:bottom w:type="dxa" w:w="60"/>
              <w:right w:type="dxa" w:w="100"/>
            </w:tcMar>
          </w:tcPr>
          <w:p>
            <w:r>
              <w:rPr>
                <w:sz w:val="19"/>
                <w:szCs w:val="19"/>
              </w:rPr>
              <w:t xml:space="preserve">Proposer une analyse de risques, que l'humain valide.</w:t>
            </w:r>
          </w:p>
        </w:tc>
        <w:tc>
          <w:tcPr>
            <w:tcW w:type="dxa" w:w="2100"/>
            <w:tcMar>
              <w:top w:type="dxa" w:w="60"/>
              <w:left w:type="dxa" w:w="100"/>
              <w:bottom w:type="dxa" w:w="60"/>
              <w:right w:type="dxa" w:w="100"/>
            </w:tcMar>
          </w:tcPr>
          <w:p>
            <w:r>
              <w:rPr>
                <w:sz w:val="19"/>
                <w:szCs w:val="19"/>
              </w:rPr>
              <w:t xml:space="preserve">—</w:t>
            </w:r>
          </w:p>
        </w:tc>
      </w:tr>
      <w:tr>
        <w:tc>
          <w:tcPr>
            <w:tcW w:type="dxa" w:w="2481"/>
            <w:tcMar>
              <w:top w:type="dxa" w:w="60"/>
              <w:left w:type="dxa" w:w="100"/>
              <w:bottom w:type="dxa" w:w="60"/>
              <w:right w:type="dxa" w:w="100"/>
            </w:tcMar>
          </w:tcPr>
          <w:p>
            <w:r>
              <w:rPr>
                <w:sz w:val="19"/>
                <w:szCs w:val="19"/>
              </w:rPr>
              <w:t xml:space="preserve">BDD / ATDD</w:t>
            </w:r>
          </w:p>
        </w:tc>
        <w:tc>
          <w:tcPr>
            <w:tcW w:type="dxa" w:w="1431"/>
            <w:tcMar>
              <w:top w:type="dxa" w:w="60"/>
              <w:left w:type="dxa" w:w="100"/>
              <w:bottom w:type="dxa" w:w="60"/>
              <w:right w:type="dxa" w:w="100"/>
            </w:tcMar>
          </w:tcPr>
          <w:p>
            <w:r>
              <w:rPr>
                <w:sz w:val="19"/>
                <w:szCs w:val="19"/>
              </w:rPr>
              <w:t xml:space="preserve">Forte</w:t>
            </w:r>
          </w:p>
        </w:tc>
        <w:tc>
          <w:tcPr>
            <w:tcW w:type="dxa" w:w="3626"/>
            <w:tcMar>
              <w:top w:type="dxa" w:w="60"/>
              <w:left w:type="dxa" w:w="100"/>
              <w:bottom w:type="dxa" w:w="60"/>
              <w:right w:type="dxa" w:w="100"/>
            </w:tcMar>
          </w:tcPr>
          <w:p>
            <w:r>
              <w:rPr>
                <w:sz w:val="19"/>
                <w:szCs w:val="19"/>
              </w:rPr>
              <w:t xml:space="preserve">User stories → scénarios Gherkin.</w:t>
            </w:r>
          </w:p>
        </w:tc>
        <w:tc>
          <w:tcPr>
            <w:tcW w:type="dxa" w:w="2100"/>
            <w:tcMar>
              <w:top w:type="dxa" w:w="60"/>
              <w:left w:type="dxa" w:w="100"/>
              <w:bottom w:type="dxa" w:w="60"/>
              <w:right w:type="dxa" w:w="100"/>
            </w:tcMar>
          </w:tcPr>
          <w:p>
            <w:r>
              <w:rPr>
                <w:sz w:val="19"/>
                <w:szCs w:val="19"/>
              </w:rPr>
              <w:t xml:space="preserve">—</w:t>
            </w:r>
          </w:p>
        </w:tc>
      </w:tr>
      <w:tr>
        <w:tc>
          <w:tcPr>
            <w:tcW w:type="dxa" w:w="2481"/>
            <w:tcMar>
              <w:top w:type="dxa" w:w="60"/>
              <w:left w:type="dxa" w:w="100"/>
              <w:bottom w:type="dxa" w:w="60"/>
              <w:right w:type="dxa" w:w="100"/>
            </w:tcMar>
          </w:tcPr>
          <w:p>
            <w:r>
              <w:rPr>
                <w:sz w:val="19"/>
                <w:szCs w:val="19"/>
              </w:rPr>
              <w:t xml:space="preserve">TDD</w:t>
            </w:r>
          </w:p>
        </w:tc>
        <w:tc>
          <w:tcPr>
            <w:tcW w:type="dxa" w:w="1431"/>
            <w:tcMar>
              <w:top w:type="dxa" w:w="60"/>
              <w:left w:type="dxa" w:w="100"/>
              <w:bottom w:type="dxa" w:w="60"/>
              <w:right w:type="dxa" w:w="100"/>
            </w:tcMar>
          </w:tcPr>
          <w:p>
            <w:r>
              <w:rPr>
                <w:sz w:val="19"/>
                <w:szCs w:val="19"/>
              </w:rPr>
              <w:t xml:space="preserve">Forte</w:t>
            </w:r>
          </w:p>
        </w:tc>
        <w:tc>
          <w:tcPr>
            <w:tcW w:type="dxa" w:w="3626"/>
            <w:tcMar>
              <w:top w:type="dxa" w:w="60"/>
              <w:left w:type="dxa" w:w="100"/>
              <w:bottom w:type="dxa" w:w="60"/>
              <w:right w:type="dxa" w:w="100"/>
            </w:tcMar>
          </w:tcPr>
          <w:p>
            <w:r>
              <w:rPr>
                <w:sz w:val="19"/>
                <w:szCs w:val="19"/>
              </w:rPr>
              <w:t xml:space="preserve">L'agent écrit les tests avant le code, puis implémente.</w:t>
            </w:r>
          </w:p>
        </w:tc>
        <w:tc>
          <w:tcPr>
            <w:tcW w:type="dxa" w:w="2100"/>
            <w:tcMar>
              <w:top w:type="dxa" w:w="60"/>
              <w:left w:type="dxa" w:w="100"/>
              <w:bottom w:type="dxa" w:w="60"/>
              <w:right w:type="dxa" w:w="100"/>
            </w:tcMar>
          </w:tcPr>
          <w:p>
            <w:r>
              <w:rPr>
                <w:sz w:val="19"/>
                <w:szCs w:val="19"/>
              </w:rPr>
              <w:t xml:space="preserve">Bonnes pratiques Anthropic (Claude Code)</w:t>
            </w:r>
          </w:p>
        </w:tc>
      </w:tr>
      <w:tr>
        <w:tc>
          <w:tcPr>
            <w:tcW w:type="dxa" w:w="2481"/>
            <w:tcMar>
              <w:top w:type="dxa" w:w="60"/>
              <w:left w:type="dxa" w:w="100"/>
              <w:bottom w:type="dxa" w:w="60"/>
              <w:right w:type="dxa" w:w="100"/>
            </w:tcMar>
          </w:tcPr>
          <w:p>
            <w:r>
              <w:rPr>
                <w:sz w:val="19"/>
                <w:szCs w:val="19"/>
              </w:rPr>
              <w:t xml:space="preserve">Estimation d'erreurs</w:t>
            </w:r>
          </w:p>
        </w:tc>
        <w:tc>
          <w:tcPr>
            <w:tcW w:type="dxa" w:w="1431"/>
            <w:tcMar>
              <w:top w:type="dxa" w:w="60"/>
              <w:left w:type="dxa" w:w="100"/>
              <w:bottom w:type="dxa" w:w="60"/>
              <w:right w:type="dxa" w:w="100"/>
            </w:tcMar>
          </w:tcPr>
          <w:p>
            <w:r>
              <w:rPr>
                <w:sz w:val="19"/>
                <w:szCs w:val="19"/>
              </w:rPr>
              <w:t xml:space="preserve">Forte</w:t>
            </w:r>
          </w:p>
        </w:tc>
        <w:tc>
          <w:tcPr>
            <w:tcW w:type="dxa" w:w="3626"/>
            <w:tcMar>
              <w:top w:type="dxa" w:w="60"/>
              <w:left w:type="dxa" w:w="100"/>
              <w:bottom w:type="dxa" w:w="60"/>
              <w:right w:type="dxa" w:w="100"/>
            </w:tcMar>
          </w:tcPr>
          <w:p>
            <w:r>
              <w:rPr>
                <w:sz w:val="19"/>
                <w:szCs w:val="19"/>
              </w:rPr>
              <w:t xml:space="preserve">Le LLM a « vu » énormément de bugs typiques.</w:t>
            </w:r>
          </w:p>
        </w:tc>
        <w:tc>
          <w:tcPr>
            <w:tcW w:type="dxa" w:w="2100"/>
            <w:tcMar>
              <w:top w:type="dxa" w:w="60"/>
              <w:left w:type="dxa" w:w="100"/>
              <w:bottom w:type="dxa" w:w="60"/>
              <w:right w:type="dxa" w:w="100"/>
            </w:tcMar>
          </w:tcPr>
          <w:p>
            <w:r>
              <w:rPr>
                <w:sz w:val="19"/>
                <w:szCs w:val="19"/>
              </w:rPr>
              <w:t xml:space="preserve">—</w:t>
            </w:r>
          </w:p>
        </w:tc>
      </w:tr>
      <w:tr>
        <w:tc>
          <w:tcPr>
            <w:tcW w:type="dxa" w:w="2481"/>
            <w:tcMar>
              <w:top w:type="dxa" w:w="60"/>
              <w:left w:type="dxa" w:w="100"/>
              <w:bottom w:type="dxa" w:w="60"/>
              <w:right w:type="dxa" w:w="100"/>
            </w:tcMar>
          </w:tcPr>
          <w:p>
            <w:r>
              <w:rPr>
                <w:sz w:val="19"/>
                <w:szCs w:val="19"/>
              </w:rPr>
              <w:t xml:space="preserve">Test exploratoire</w:t>
            </w:r>
          </w:p>
        </w:tc>
        <w:tc>
          <w:tcPr>
            <w:tcW w:type="dxa" w:w="1431"/>
            <w:tcMar>
              <w:top w:type="dxa" w:w="60"/>
              <w:left w:type="dxa" w:w="100"/>
              <w:bottom w:type="dxa" w:w="60"/>
              <w:right w:type="dxa" w:w="100"/>
            </w:tcMar>
          </w:tcPr>
          <w:p>
            <w:r>
              <w:rPr>
                <w:sz w:val="19"/>
                <w:szCs w:val="19"/>
              </w:rPr>
              <w:t xml:space="preserve">Moyenne (agentique)</w:t>
            </w:r>
          </w:p>
        </w:tc>
        <w:tc>
          <w:tcPr>
            <w:tcW w:type="dxa" w:w="3626"/>
            <w:tcMar>
              <w:top w:type="dxa" w:w="60"/>
              <w:left w:type="dxa" w:w="100"/>
              <w:bottom w:type="dxa" w:w="60"/>
              <w:right w:type="dxa" w:w="100"/>
            </w:tcMar>
          </w:tcPr>
          <w:p>
            <w:r>
              <w:rPr>
                <w:sz w:val="19"/>
                <w:szCs w:val="19"/>
              </w:rPr>
              <w:t xml:space="preserve">Un agent pilote l'interface, explore et transforme ses parcours en tests.</w:t>
            </w:r>
          </w:p>
        </w:tc>
        <w:tc>
          <w:tcPr>
            <w:tcW w:type="dxa" w:w="2100"/>
            <w:tcMar>
              <w:top w:type="dxa" w:w="60"/>
              <w:left w:type="dxa" w:w="100"/>
              <w:bottom w:type="dxa" w:w="60"/>
              <w:right w:type="dxa" w:w="100"/>
            </w:tcMar>
          </w:tcPr>
          <w:p>
            <w:r>
              <w:rPr>
                <w:sz w:val="19"/>
                <w:szCs w:val="19"/>
              </w:rPr>
              <w:t xml:space="preserve">—</w:t>
            </w:r>
          </w:p>
        </w:tc>
      </w:tr>
      <w:tr>
        <w:tc>
          <w:tcPr>
            <w:tcW w:type="dxa" w:w="2481"/>
            <w:tcMar>
              <w:top w:type="dxa" w:w="60"/>
              <w:left w:type="dxa" w:w="100"/>
              <w:bottom w:type="dxa" w:w="60"/>
              <w:right w:type="dxa" w:w="100"/>
            </w:tcMar>
          </w:tcPr>
          <w:p>
            <w:r>
              <w:rPr>
                <w:sz w:val="19"/>
                <w:szCs w:val="19"/>
              </w:rPr>
              <w:t xml:space="preserve">Boîte blanche (couverture)</w:t>
            </w:r>
          </w:p>
        </w:tc>
        <w:tc>
          <w:tcPr>
            <w:tcW w:type="dxa" w:w="1431"/>
            <w:tcMar>
              <w:top w:type="dxa" w:w="60"/>
              <w:left w:type="dxa" w:w="100"/>
              <w:bottom w:type="dxa" w:w="60"/>
              <w:right w:type="dxa" w:w="100"/>
            </w:tcMar>
          </w:tcPr>
          <w:p>
            <w:r>
              <w:rPr>
                <w:sz w:val="19"/>
                <w:szCs w:val="19"/>
              </w:rPr>
              <w:t xml:space="preserve">Forte, en boucle</w:t>
            </w:r>
          </w:p>
        </w:tc>
        <w:tc>
          <w:tcPr>
            <w:tcW w:type="dxa" w:w="3626"/>
            <w:tcMar>
              <w:top w:type="dxa" w:w="60"/>
              <w:left w:type="dxa" w:w="100"/>
              <w:bottom w:type="dxa" w:w="60"/>
              <w:right w:type="dxa" w:w="100"/>
            </w:tcMar>
          </w:tcPr>
          <w:p>
            <w:r>
              <w:rPr>
                <w:sz w:val="19"/>
                <w:szCs w:val="19"/>
              </w:rPr>
              <w:t xml:space="preserve">Mesurer la couverture → donner au LLM les zones non couvertes → nouveaux tests.</w:t>
            </w:r>
          </w:p>
        </w:tc>
        <w:tc>
          <w:tcPr>
            <w:tcW w:type="dxa" w:w="2100"/>
            <w:tcMar>
              <w:top w:type="dxa" w:w="60"/>
              <w:left w:type="dxa" w:w="100"/>
              <w:bottom w:type="dxa" w:w="60"/>
              <w:right w:type="dxa" w:w="100"/>
            </w:tcMar>
          </w:tcPr>
          <w:p>
            <w:r>
              <w:rPr>
                <w:sz w:val="19"/>
                <w:szCs w:val="19"/>
              </w:rPr>
              <w:t xml:space="preserve">Schäfer et al., 2023 ; Alshahwan et al., 2024</w:t>
            </w:r>
          </w:p>
        </w:tc>
      </w:tr>
      <w:tr>
        <w:tc>
          <w:tcPr>
            <w:tcW w:type="dxa" w:w="2481"/>
            <w:tcMar>
              <w:top w:type="dxa" w:w="60"/>
              <w:left w:type="dxa" w:w="100"/>
              <w:bottom w:type="dxa" w:w="60"/>
              <w:right w:type="dxa" w:w="100"/>
            </w:tcMar>
          </w:tcPr>
          <w:p>
            <w:r>
              <w:rPr>
                <w:sz w:val="19"/>
                <w:szCs w:val="19"/>
              </w:rPr>
              <w:t xml:space="preserve">SBST</w:t>
            </w:r>
          </w:p>
        </w:tc>
        <w:tc>
          <w:tcPr>
            <w:tcW w:type="dxa" w:w="1431"/>
            <w:tcMar>
              <w:top w:type="dxa" w:w="60"/>
              <w:left w:type="dxa" w:w="100"/>
              <w:bottom w:type="dxa" w:w="60"/>
              <w:right w:type="dxa" w:w="100"/>
            </w:tcMar>
          </w:tcPr>
          <w:p>
            <w:r>
              <w:rPr>
                <w:sz w:val="19"/>
                <w:szCs w:val="19"/>
              </w:rPr>
              <w:t xml:space="preserve">Oui (hybride)</w:t>
            </w:r>
          </w:p>
        </w:tc>
        <w:tc>
          <w:tcPr>
            <w:tcW w:type="dxa" w:w="3626"/>
            <w:tcMar>
              <w:top w:type="dxa" w:w="60"/>
              <w:left w:type="dxa" w:w="100"/>
              <w:bottom w:type="dxa" w:w="60"/>
              <w:right w:type="dxa" w:w="100"/>
            </w:tcMar>
          </w:tcPr>
          <w:p>
            <w:r>
              <w:rPr>
                <w:sz w:val="19"/>
                <w:szCs w:val="19"/>
              </w:rPr>
              <w:t xml:space="preserve">Débloquer la recherche quand elle stagne sur un plateau de couverture.</w:t>
            </w:r>
          </w:p>
        </w:tc>
        <w:tc>
          <w:tcPr>
            <w:tcW w:type="dxa" w:w="2100"/>
            <w:tcMar>
              <w:top w:type="dxa" w:w="60"/>
              <w:left w:type="dxa" w:w="100"/>
              <w:bottom w:type="dxa" w:w="60"/>
              <w:right w:type="dxa" w:w="100"/>
            </w:tcMar>
          </w:tcPr>
          <w:p>
            <w:r>
              <w:rPr>
                <w:sz w:val="19"/>
                <w:szCs w:val="19"/>
              </w:rPr>
              <w:t xml:space="preserve">Lemieux et al., ICSE 2023</w:t>
            </w:r>
          </w:p>
        </w:tc>
      </w:tr>
      <w:tr>
        <w:tc>
          <w:tcPr>
            <w:tcW w:type="dxa" w:w="2481"/>
            <w:tcMar>
              <w:top w:type="dxa" w:w="60"/>
              <w:left w:type="dxa" w:w="100"/>
              <w:bottom w:type="dxa" w:w="60"/>
              <w:right w:type="dxa" w:w="100"/>
            </w:tcMar>
          </w:tcPr>
          <w:p>
            <w:r>
              <w:rPr>
                <w:sz w:val="19"/>
                <w:szCs w:val="19"/>
              </w:rPr>
              <w:t xml:space="preserve">Fuzzing</w:t>
            </w:r>
          </w:p>
        </w:tc>
        <w:tc>
          <w:tcPr>
            <w:tcW w:type="dxa" w:w="1431"/>
            <w:tcMar>
              <w:top w:type="dxa" w:w="60"/>
              <w:left w:type="dxa" w:w="100"/>
              <w:bottom w:type="dxa" w:w="60"/>
              <w:right w:type="dxa" w:w="100"/>
            </w:tcMar>
          </w:tcPr>
          <w:p>
            <w:r>
              <w:rPr>
                <w:sz w:val="19"/>
                <w:szCs w:val="19"/>
              </w:rPr>
              <w:t xml:space="preserve">Oui (hybride)</w:t>
            </w:r>
          </w:p>
        </w:tc>
        <w:tc>
          <w:tcPr>
            <w:tcW w:type="dxa" w:w="3626"/>
            <w:tcMar>
              <w:top w:type="dxa" w:w="60"/>
              <w:left w:type="dxa" w:w="100"/>
              <w:bottom w:type="dxa" w:w="60"/>
              <w:right w:type="dxa" w:w="100"/>
            </w:tcMar>
          </w:tcPr>
          <w:p>
            <w:r>
              <w:rPr>
                <w:sz w:val="19"/>
                <w:szCs w:val="19"/>
              </w:rPr>
              <w:t xml:space="preserve">Générer des entrées syntaxiquement valides et sémantiquement pertinentes.</w:t>
            </w:r>
          </w:p>
        </w:tc>
        <w:tc>
          <w:tcPr>
            <w:tcW w:type="dxa" w:w="2100"/>
            <w:tcMar>
              <w:top w:type="dxa" w:w="60"/>
              <w:left w:type="dxa" w:w="100"/>
              <w:bottom w:type="dxa" w:w="60"/>
              <w:right w:type="dxa" w:w="100"/>
            </w:tcMar>
          </w:tcPr>
          <w:p>
            <w:r>
              <w:rPr>
                <w:sz w:val="19"/>
                <w:szCs w:val="19"/>
              </w:rPr>
              <w:t xml:space="preserve">Deng et al., 2023 ; Xia et al., ICSE 2024</w:t>
            </w:r>
          </w:p>
        </w:tc>
      </w:tr>
      <w:tr>
        <w:tc>
          <w:tcPr>
            <w:tcW w:type="dxa" w:w="2481"/>
            <w:tcMar>
              <w:top w:type="dxa" w:w="60"/>
              <w:left w:type="dxa" w:w="100"/>
              <w:bottom w:type="dxa" w:w="60"/>
              <w:right w:type="dxa" w:w="100"/>
            </w:tcMar>
          </w:tcPr>
          <w:p>
            <w:r>
              <w:rPr>
                <w:sz w:val="19"/>
                <w:szCs w:val="19"/>
              </w:rPr>
              <w:t xml:space="preserve">Test par mutation</w:t>
            </w:r>
          </w:p>
        </w:tc>
        <w:tc>
          <w:tcPr>
            <w:tcW w:type="dxa" w:w="1431"/>
            <w:tcMar>
              <w:top w:type="dxa" w:w="60"/>
              <w:left w:type="dxa" w:w="100"/>
              <w:bottom w:type="dxa" w:w="60"/>
              <w:right w:type="dxa" w:w="100"/>
            </w:tcMar>
          </w:tcPr>
          <w:p>
            <w:r>
              <w:rPr>
                <w:sz w:val="19"/>
                <w:szCs w:val="19"/>
              </w:rPr>
              <w:t xml:space="preserve">Forte</w:t>
            </w:r>
          </w:p>
        </w:tc>
        <w:tc>
          <w:tcPr>
            <w:tcW w:type="dxa" w:w="3626"/>
            <w:tcMar>
              <w:top w:type="dxa" w:w="60"/>
              <w:left w:type="dxa" w:w="100"/>
              <w:bottom w:type="dxa" w:w="60"/>
              <w:right w:type="dxa" w:w="100"/>
            </w:tcMar>
          </w:tcPr>
          <w:p>
            <w:r>
              <w:rPr>
                <w:sz w:val="19"/>
                <w:szCs w:val="19"/>
              </w:rPr>
              <w:t xml:space="preserve">Générer des mutants réalistes puis les tests qui les tuent.</w:t>
            </w:r>
          </w:p>
        </w:tc>
        <w:tc>
          <w:tcPr>
            <w:tcW w:type="dxa" w:w="2100"/>
            <w:tcMar>
              <w:top w:type="dxa" w:w="60"/>
              <w:left w:type="dxa" w:w="100"/>
              <w:bottom w:type="dxa" w:w="60"/>
              <w:right w:type="dxa" w:w="100"/>
            </w:tcMar>
          </w:tcPr>
          <w:p>
            <w:r>
              <w:rPr>
                <w:sz w:val="19"/>
                <w:szCs w:val="19"/>
              </w:rPr>
              <w:t xml:space="preserve">Meta, 2025</w:t>
            </w:r>
          </w:p>
        </w:tc>
      </w:tr>
      <w:tr>
        <w:tc>
          <w:tcPr>
            <w:tcW w:type="dxa" w:w="2481"/>
            <w:tcMar>
              <w:top w:type="dxa" w:w="60"/>
              <w:left w:type="dxa" w:w="100"/>
              <w:bottom w:type="dxa" w:w="60"/>
              <w:right w:type="dxa" w:w="100"/>
            </w:tcMar>
          </w:tcPr>
          <w:p>
            <w:r>
              <w:rPr>
                <w:sz w:val="19"/>
                <w:szCs w:val="19"/>
              </w:rPr>
              <w:t xml:space="preserve">Propriétés / métamorphique</w:t>
            </w:r>
          </w:p>
        </w:tc>
        <w:tc>
          <w:tcPr>
            <w:tcW w:type="dxa" w:w="1431"/>
            <w:tcMar>
              <w:top w:type="dxa" w:w="60"/>
              <w:left w:type="dxa" w:w="100"/>
              <w:bottom w:type="dxa" w:w="60"/>
              <w:right w:type="dxa" w:w="100"/>
            </w:tcMar>
          </w:tcPr>
          <w:p>
            <w:r>
              <w:rPr>
                <w:sz w:val="19"/>
                <w:szCs w:val="19"/>
              </w:rPr>
              <w:t xml:space="preserve">Forte</w:t>
            </w:r>
          </w:p>
        </w:tc>
        <w:tc>
          <w:tcPr>
            <w:tcW w:type="dxa" w:w="3626"/>
            <w:tcMar>
              <w:top w:type="dxa" w:w="60"/>
              <w:left w:type="dxa" w:w="100"/>
              <w:bottom w:type="dxa" w:w="60"/>
              <w:right w:type="dxa" w:w="100"/>
            </w:tcMar>
          </w:tcPr>
          <w:p>
            <w:r>
              <w:rPr>
                <w:sz w:val="19"/>
                <w:szCs w:val="19"/>
              </w:rPr>
              <w:t xml:space="preserve">Formuler les invariants et les relations métamorphiques à partir de la spécification.</w:t>
            </w:r>
          </w:p>
        </w:tc>
        <w:tc>
          <w:tcPr>
            <w:tcW w:type="dxa" w:w="2100"/>
            <w:tcMar>
              <w:top w:type="dxa" w:w="60"/>
              <w:left w:type="dxa" w:w="100"/>
              <w:bottom w:type="dxa" w:w="60"/>
              <w:right w:type="dxa" w:w="100"/>
            </w:tcMar>
          </w:tcPr>
          <w:p>
            <w:r>
              <w:rPr>
                <w:sz w:val="19"/>
                <w:szCs w:val="19"/>
              </w:rPr>
              <w:t xml:space="preserve">—</w:t>
            </w:r>
          </w:p>
        </w:tc>
      </w:tr>
      <w:tr>
        <w:tc>
          <w:tcPr>
            <w:tcW w:type="dxa" w:w="2481"/>
            <w:tcMar>
              <w:top w:type="dxa" w:w="60"/>
              <w:left w:type="dxa" w:w="100"/>
              <w:bottom w:type="dxa" w:w="60"/>
              <w:right w:type="dxa" w:w="100"/>
            </w:tcMar>
          </w:tcPr>
          <w:p>
            <w:r>
              <w:rPr>
                <w:sz w:val="19"/>
                <w:szCs w:val="19"/>
              </w:rPr>
              <w:t xml:space="preserve">MBT</w:t>
            </w:r>
          </w:p>
        </w:tc>
        <w:tc>
          <w:tcPr>
            <w:tcW w:type="dxa" w:w="1431"/>
            <w:tcMar>
              <w:top w:type="dxa" w:w="60"/>
              <w:left w:type="dxa" w:w="100"/>
              <w:bottom w:type="dxa" w:w="60"/>
              <w:right w:type="dxa" w:w="100"/>
            </w:tcMar>
          </w:tcPr>
          <w:p>
            <w:r>
              <w:rPr>
                <w:sz w:val="19"/>
                <w:szCs w:val="19"/>
              </w:rPr>
              <w:t xml:space="preserve">Moyenne</w:t>
            </w:r>
          </w:p>
        </w:tc>
        <w:tc>
          <w:tcPr>
            <w:tcW w:type="dxa" w:w="3626"/>
            <w:tcMar>
              <w:top w:type="dxa" w:w="60"/>
              <w:left w:type="dxa" w:w="100"/>
              <w:bottom w:type="dxa" w:w="60"/>
              <w:right w:type="dxa" w:w="100"/>
            </w:tcMar>
          </w:tcPr>
          <w:p>
            <w:r>
              <w:rPr>
                <w:sz w:val="19"/>
                <w:szCs w:val="19"/>
              </w:rPr>
              <w:t xml:space="preserve">Construire le modèle (automate) à partir de la spécification ; la génération reste algorithmique.</w:t>
            </w:r>
          </w:p>
        </w:tc>
        <w:tc>
          <w:tcPr>
            <w:tcW w:type="dxa" w:w="2100"/>
            <w:tcMar>
              <w:top w:type="dxa" w:w="60"/>
              <w:left w:type="dxa" w:w="100"/>
              <w:bottom w:type="dxa" w:w="60"/>
              <w:right w:type="dxa" w:w="100"/>
            </w:tcMar>
          </w:tcPr>
          <w:p>
            <w:r>
              <w:rPr>
                <w:sz w:val="19"/>
                <w:szCs w:val="19"/>
              </w:rPr>
              <w:t xml:space="preserve">—</w:t>
            </w:r>
          </w:p>
        </w:tc>
      </w:tr>
      <w:tr>
        <w:tc>
          <w:tcPr>
            <w:tcW w:type="dxa" w:w="2481"/>
            <w:tcMar>
              <w:top w:type="dxa" w:w="60"/>
              <w:left w:type="dxa" w:w="100"/>
              <w:bottom w:type="dxa" w:w="60"/>
              <w:right w:type="dxa" w:w="100"/>
            </w:tcMar>
          </w:tcPr>
          <w:p>
            <w:r>
              <w:rPr>
                <w:sz w:val="19"/>
                <w:szCs w:val="19"/>
              </w:rPr>
              <w:t xml:space="preserve">Exécution symbolique</w:t>
            </w:r>
          </w:p>
        </w:tc>
        <w:tc>
          <w:tcPr>
            <w:tcW w:type="dxa" w:w="1431"/>
            <w:tcMar>
              <w:top w:type="dxa" w:w="60"/>
              <w:left w:type="dxa" w:w="100"/>
              <w:bottom w:type="dxa" w:w="60"/>
              <w:right w:type="dxa" w:w="100"/>
            </w:tcMar>
          </w:tcPr>
          <w:p>
            <w:r>
              <w:rPr>
                <w:sz w:val="19"/>
                <w:szCs w:val="19"/>
              </w:rPr>
              <w:t xml:space="preserve">Faible</w:t>
            </w:r>
          </w:p>
        </w:tc>
        <w:tc>
          <w:tcPr>
            <w:tcW w:type="dxa" w:w="3626"/>
            <w:tcMar>
              <w:top w:type="dxa" w:w="60"/>
              <w:left w:type="dxa" w:w="100"/>
              <w:bottom w:type="dxa" w:w="60"/>
              <w:right w:type="dxa" w:w="100"/>
            </w:tcMar>
          </w:tcPr>
          <w:p>
            <w:r>
              <w:rPr>
                <w:sz w:val="19"/>
                <w:szCs w:val="19"/>
              </w:rPr>
              <w:t xml:space="preserve">Méthode formelle (solveurs de contraintes) ; le LLM ne remplace pas le raisonnement exact.</w:t>
            </w:r>
          </w:p>
        </w:tc>
        <w:tc>
          <w:tcPr>
            <w:tcW w:type="dxa" w:w="2100"/>
            <w:tcMar>
              <w:top w:type="dxa" w:w="60"/>
              <w:left w:type="dxa" w:w="100"/>
              <w:bottom w:type="dxa" w:w="60"/>
              <w:right w:type="dxa" w:w="100"/>
            </w:tcMar>
          </w:tcPr>
          <w:p>
            <w:r>
              <w:rPr>
                <w:sz w:val="19"/>
                <w:szCs w:val="19"/>
              </w:rPr>
              <w:t xml:space="preserve">—</w:t>
            </w:r>
          </w:p>
        </w:tc>
      </w:tr>
      <w:tr>
        <w:tc>
          <w:tcPr>
            <w:tcW w:type="dxa" w:w="2481"/>
            <w:tcMar>
              <w:top w:type="dxa" w:w="60"/>
              <w:left w:type="dxa" w:w="100"/>
              <w:bottom w:type="dxa" w:w="60"/>
              <w:right w:type="dxa" w:w="100"/>
            </w:tcMar>
          </w:tcPr>
          <w:p>
            <w:r>
              <w:rPr>
                <w:sz w:val="19"/>
                <w:szCs w:val="19"/>
              </w:rPr>
              <w:t xml:space="preserve">Génération à partir des traces</w:t>
            </w:r>
          </w:p>
        </w:tc>
        <w:tc>
          <w:tcPr>
            <w:tcW w:type="dxa" w:w="1431"/>
            <w:tcMar>
              <w:top w:type="dxa" w:w="60"/>
              <w:left w:type="dxa" w:w="100"/>
              <w:bottom w:type="dxa" w:w="60"/>
              <w:right w:type="dxa" w:w="100"/>
            </w:tcMar>
          </w:tcPr>
          <w:p>
            <w:r>
              <w:rPr>
                <w:sz w:val="19"/>
                <w:szCs w:val="19"/>
              </w:rPr>
              <w:t xml:space="preserve">Moyenne</w:t>
            </w:r>
          </w:p>
        </w:tc>
        <w:tc>
          <w:tcPr>
            <w:tcW w:type="dxa" w:w="3626"/>
            <w:tcMar>
              <w:top w:type="dxa" w:w="60"/>
              <w:left w:type="dxa" w:w="100"/>
              <w:bottom w:type="dxa" w:w="60"/>
              <w:right w:type="dxa" w:w="100"/>
            </w:tcMar>
          </w:tcPr>
          <w:p>
            <w:r>
              <w:rPr>
                <w:sz w:val="19"/>
                <w:szCs w:val="19"/>
              </w:rPr>
              <w:t xml:space="preserve">Résumer les journaux et en tirer des scénarios représentatifs.</w:t>
            </w:r>
          </w:p>
        </w:tc>
        <w:tc>
          <w:tcPr>
            <w:tcW w:type="dxa" w:w="2100"/>
            <w:tcMar>
              <w:top w:type="dxa" w:w="60"/>
              <w:left w:type="dxa" w:w="100"/>
              <w:bottom w:type="dxa" w:w="60"/>
              <w:right w:type="dxa" w:w="100"/>
            </w:tcMar>
          </w:tcPr>
          <w:p>
            <w:r>
              <w:rPr>
                <w:sz w:val="19"/>
                <w:szCs w:val="19"/>
              </w:rPr>
              <w:t xml:space="preserve">—</w:t>
            </w:r>
          </w:p>
        </w:tc>
      </w:tr>
    </w:tbl>
    <w:p>
      <w:pPr>
        <w:spacing w:after="120"/>
      </w:pPr>
    </w:p>
    <w:p>
      <w:pPr>
        <w:pBdr>
          <w:left w:val="single" w:color="FF7900" w:sz="18" w:space="6"/>
        </w:pBdr>
        <w:shd w:fill="FFF4E5" w:val="clear"/>
        <w:spacing w:after="160" w:before="120"/>
        <w:ind w:left="200"/>
      </w:pPr>
      <w:r>
        <w:rPr>
          <w:i/>
          <w:iCs/>
        </w:rPr>
        <w:t xml:space="preserve">Important : vérifiez chaque référence (auteurs, année, conférence) dans Google Scholar ou IEEE Xplore avant de la citer. Elles ont été données de mémoire et doivent pouvoir être justifiées devant le jury.</w:t>
      </w:r>
    </w:p>
    <w:p>
      <w:pPr>
        <w:pStyle w:val="Heading2"/>
        <w:spacing w:after="120" w:before="280"/>
      </w:pPr>
      <w:r>
        <w:t xml:space="preserve">3. Processus type de génération assistée par LLM</w:t>
      </w:r>
    </w:p>
    <w:p>
      <w:pPr>
        <w:spacing w:after="120"/>
      </w:pPr>
      <w:r>
        <w:t xml:space="preserve">Ce processus est un bon candidat de contribution : il s'aligne sur ISO 29119-2 et ajoute des garde-fous propres aux LLM.</w:t>
      </w:r>
    </w:p>
    <w:p>
      <w:pPr>
        <w:pStyle w:val="ListParagraph"/>
        <w:numPr>
          <w:ilvl w:val="0"/>
          <w:numId w:val="5"/>
        </w:numPr>
        <w:spacing w:after="60"/>
      </w:pPr>
      <w:r>
        <w:rPr>
          <w:b/>
          <w:bCs/>
        </w:rPr>
        <w:t xml:space="preserve">Collecte du contexte</w:t>
      </w:r>
      <w:r>
        <w:t xml:space="preserve"> : spécification, user stories, règles métier, interfaces, tests existants (comme exemples).</w:t>
      </w:r>
    </w:p>
    <w:p>
      <w:pPr>
        <w:pStyle w:val="ListParagraph"/>
        <w:numPr>
          <w:ilvl w:val="0"/>
          <w:numId w:val="5"/>
        </w:numPr>
        <w:spacing w:after="60"/>
      </w:pPr>
      <w:r>
        <w:rPr>
          <w:b/>
          <w:bCs/>
        </w:rPr>
        <w:t xml:space="preserve">Extraction des conditions de test</w:t>
      </w:r>
      <w:r>
        <w:t xml:space="preserve"> par le LLM : ce qu'il faut vérifier, exigence par exigence (ISO 29119-2, étape 1).</w:t>
      </w:r>
    </w:p>
    <w:p>
      <w:pPr>
        <w:pStyle w:val="ListParagraph"/>
        <w:numPr>
          <w:ilvl w:val="0"/>
          <w:numId w:val="5"/>
        </w:numPr>
        <w:spacing w:after="60"/>
      </w:pPr>
      <w:r>
        <w:rPr>
          <w:b/>
          <w:bCs/>
        </w:rPr>
        <w:t xml:space="preserve">Application guidée d'une technique</w:t>
      </w:r>
      <w:r>
        <w:t xml:space="preserve"> : le prompt impose une méthode de la Partie I. Sans cette contrainte, un LLM produit surtout des cas nominaux.</w:t>
      </w:r>
    </w:p>
    <w:p>
      <w:pPr>
        <w:pStyle w:val="ListParagraph"/>
        <w:numPr>
          <w:ilvl w:val="0"/>
          <w:numId w:val="5"/>
        </w:numPr>
        <w:spacing w:after="60"/>
      </w:pPr>
      <w:r>
        <w:rPr>
          <w:b/>
          <w:bCs/>
        </w:rPr>
        <w:t xml:space="preserve">Génération des cas de test</w:t>
      </w:r>
      <w:r>
        <w:t xml:space="preserve"> au format normalisé (ISO 29119-3), avec la traçabilité vers l'exigence.</w:t>
      </w:r>
    </w:p>
    <w:p>
      <w:pPr>
        <w:pStyle w:val="ListParagraph"/>
        <w:numPr>
          <w:ilvl w:val="0"/>
          <w:numId w:val="5"/>
        </w:numPr>
        <w:spacing w:after="60"/>
      </w:pPr>
      <w:r>
        <w:rPr>
          <w:b/>
          <w:bCs/>
        </w:rPr>
        <w:t xml:space="preserve">Revue humaine</w:t>
      </w:r>
      <w:r>
        <w:t xml:space="preserve"> : validation, correction, ajouts. C'est la recommandation centrale de l'ISTQB CT-GenAI (2025).</w:t>
      </w:r>
    </w:p>
    <w:p>
      <w:pPr>
        <w:pStyle w:val="ListParagraph"/>
        <w:numPr>
          <w:ilvl w:val="0"/>
          <w:numId w:val="5"/>
        </w:numPr>
        <w:spacing w:after="60"/>
      </w:pPr>
      <w:r>
        <w:rPr>
          <w:b/>
          <w:bCs/>
        </w:rPr>
        <w:t xml:space="preserve">Génération des scripts automatisés</w:t>
      </w:r>
      <w:r>
        <w:t xml:space="preserve"> (unitaires, API, bout en bout).</w:t>
      </w:r>
    </w:p>
    <w:p>
      <w:pPr>
        <w:pStyle w:val="ListParagraph"/>
        <w:numPr>
          <w:ilvl w:val="0"/>
          <w:numId w:val="5"/>
        </w:numPr>
        <w:spacing w:after="60"/>
      </w:pPr>
      <w:r>
        <w:rPr>
          <w:b/>
          <w:bCs/>
        </w:rPr>
        <w:t xml:space="preserve">Validation automatique des tests générés</w:t>
      </w:r>
      <w:r>
        <w:t xml:space="preserve"> (critères de Meta TestGen-LLM) : un test n'est conservé que s'il compile, passe de façon stable sur plusieurs exécutions et échoue quand on casse le code visé.</w:t>
      </w:r>
    </w:p>
    <w:p>
      <w:pPr>
        <w:pStyle w:val="ListParagraph"/>
        <w:numPr>
          <w:ilvl w:val="0"/>
          <w:numId w:val="5"/>
        </w:numPr>
        <w:spacing w:after="60"/>
      </w:pPr>
      <w:r>
        <w:rPr>
          <w:b/>
          <w:bCs/>
        </w:rPr>
        <w:t xml:space="preserve">Boucle d'amélioration</w:t>
      </w:r>
      <w:r>
        <w:t xml:space="preserve"> : la couverture et les mutants survivants sont renvoyés au LLM, qui complète les tests.</w:t>
      </w:r>
    </w:p>
    <w:p>
      <w:pPr>
        <w:pStyle w:val="ListParagraph"/>
        <w:numPr>
          <w:ilvl w:val="0"/>
          <w:numId w:val="5"/>
        </w:numPr>
        <w:spacing w:after="60"/>
      </w:pPr>
      <w:r>
        <w:rPr>
          <w:b/>
          <w:bCs/>
        </w:rPr>
        <w:t xml:space="preserve">Capitalisation</w:t>
      </w:r>
      <w:r>
        <w:t xml:space="preserve"> : matrice de traçabilité, rapport, réutilisation des exemples validés.</w:t>
      </w:r>
    </w:p>
    <w:p>
      <w:pPr>
        <w:pStyle w:val="Heading2"/>
        <w:spacing w:after="120" w:before="280"/>
      </w:pPr>
      <w:r>
        <w:t xml:space="preserve">4. Limites et risques</w:t>
      </w:r>
    </w:p>
    <w:p>
      <w:pPr>
        <w:pStyle w:val="ListParagraph"/>
        <w:numPr>
          <w:ilvl w:val="0"/>
          <w:numId w:val="3"/>
        </w:numPr>
        <w:spacing w:after="60"/>
      </w:pPr>
      <w:r>
        <w:rPr>
          <w:b/>
          <w:bCs/>
        </w:rPr>
        <w:t xml:space="preserve">Oracle erroné</w:t>
      </w:r>
      <w:r>
        <w:t xml:space="preserve"> : si le LLM lit le code, il valide le comportement actuel, bugs compris. Il faut générer à partir de la spécification.</w:t>
      </w:r>
    </w:p>
    <w:p>
      <w:pPr>
        <w:pStyle w:val="ListParagraph"/>
        <w:numPr>
          <w:ilvl w:val="0"/>
          <w:numId w:val="3"/>
        </w:numPr>
        <w:spacing w:after="60"/>
      </w:pPr>
      <w:r>
        <w:rPr>
          <w:b/>
          <w:bCs/>
        </w:rPr>
        <w:t xml:space="preserve">Hallucinations</w:t>
      </w:r>
      <w:r>
        <w:t xml:space="preserve"> : API inexistantes, règles métier inventées.</w:t>
      </w:r>
    </w:p>
    <w:p>
      <w:pPr>
        <w:pStyle w:val="ListParagraph"/>
        <w:numPr>
          <w:ilvl w:val="0"/>
          <w:numId w:val="3"/>
        </w:numPr>
        <w:spacing w:after="60"/>
      </w:pPr>
      <w:r>
        <w:rPr>
          <w:b/>
          <w:bCs/>
        </w:rPr>
        <w:t xml:space="preserve">Tests creux</w:t>
      </w:r>
      <w:r>
        <w:t xml:space="preserve"> : assertions triviales, tout est simulé (mocké).</w:t>
      </w:r>
    </w:p>
    <w:p>
      <w:pPr>
        <w:pStyle w:val="ListParagraph"/>
        <w:numPr>
          <w:ilvl w:val="0"/>
          <w:numId w:val="3"/>
        </w:numPr>
        <w:spacing w:after="60"/>
      </w:pPr>
      <w:r>
        <w:rPr>
          <w:b/>
          <w:bCs/>
        </w:rPr>
        <w:t xml:space="preserve">Non-déterminisme</w:t>
      </w:r>
      <w:r>
        <w:t xml:space="preserve"> : deux exécutions du même prompt donnent des résultats différents (problème de reproductibilité scientifique).</w:t>
      </w:r>
    </w:p>
    <w:p>
      <w:pPr>
        <w:pStyle w:val="ListParagraph"/>
        <w:numPr>
          <w:ilvl w:val="0"/>
          <w:numId w:val="3"/>
        </w:numPr>
        <w:spacing w:after="60"/>
      </w:pPr>
      <w:r>
        <w:rPr>
          <w:b/>
          <w:bCs/>
        </w:rPr>
        <w:t xml:space="preserve">Confidentialité</w:t>
      </w:r>
      <w:r>
        <w:t xml:space="preserve"> : envoi de code ou de données à un service externe.</w:t>
      </w:r>
    </w:p>
    <w:p>
      <w:pPr>
        <w:pStyle w:val="ListParagraph"/>
        <w:numPr>
          <w:ilvl w:val="0"/>
          <w:numId w:val="3"/>
        </w:numPr>
        <w:spacing w:after="60"/>
      </w:pPr>
      <w:r>
        <w:rPr>
          <w:b/>
          <w:bCs/>
        </w:rPr>
        <w:t xml:space="preserve">Dépendance à la qualité de la spécification</w:t>
      </w:r>
      <w:r>
        <w:t xml:space="preserve"> : une spécification ambiguë donne des tests ambigus.</w:t>
      </w:r>
    </w:p>
    <w:p>
      <w:pPr>
        <w:pStyle w:val="Heading2"/>
        <w:spacing w:after="120" w:before="280"/>
      </w:pPr>
      <w:r>
        <w:t xml:space="preserve">5. Indicateurs d'évaluation</w:t>
      </w:r>
    </w:p>
    <w:p>
      <w:pPr>
        <w:pStyle w:val="ListParagraph"/>
        <w:numPr>
          <w:ilvl w:val="0"/>
          <w:numId w:val="3"/>
        </w:numPr>
        <w:spacing w:after="60"/>
      </w:pPr>
      <w:r>
        <w:t xml:space="preserve">Taux d'</w:t>
      </w:r>
      <w:r>
        <w:rPr>
          <w:b/>
          <w:bCs/>
        </w:rPr>
        <w:t xml:space="preserve">exigences couvertes</w:t>
      </w:r>
      <w:r>
        <w:t xml:space="preserve">.</w:t>
      </w:r>
    </w:p>
    <w:p>
      <w:pPr>
        <w:pStyle w:val="ListParagraph"/>
        <w:numPr>
          <w:ilvl w:val="0"/>
          <w:numId w:val="3"/>
        </w:numPr>
        <w:spacing w:after="60"/>
      </w:pPr>
      <w:r>
        <w:rPr>
          <w:b/>
          <w:bCs/>
        </w:rPr>
        <w:t xml:space="preserve">Couverture de code</w:t>
      </w:r>
      <w:r>
        <w:t xml:space="preserve"> (instructions, branches).</w:t>
      </w:r>
    </w:p>
    <w:p>
      <w:pPr>
        <w:pStyle w:val="ListParagraph"/>
        <w:numPr>
          <w:ilvl w:val="0"/>
          <w:numId w:val="3"/>
        </w:numPr>
        <w:spacing w:after="60"/>
      </w:pPr>
      <w:r>
        <w:rPr>
          <w:b/>
          <w:bCs/>
        </w:rPr>
        <w:t xml:space="preserve">Score de mutation</w:t>
      </w:r>
      <w:r>
        <w:t xml:space="preserve"> : l'indicateur le plus solide de la qualité des tests.</w:t>
      </w:r>
    </w:p>
    <w:p>
      <w:pPr>
        <w:pStyle w:val="ListParagraph"/>
        <w:numPr>
          <w:ilvl w:val="0"/>
          <w:numId w:val="3"/>
        </w:numPr>
        <w:spacing w:after="60"/>
      </w:pPr>
      <w:r>
        <w:t xml:space="preserve">Pourcentage de cas générés </w:t>
      </w:r>
      <w:r>
        <w:rPr>
          <w:b/>
          <w:bCs/>
        </w:rPr>
        <w:t xml:space="preserve">valides sans retouche</w:t>
      </w:r>
      <w:r>
        <w:t xml:space="preserve">, </w:t>
      </w:r>
      <w:r>
        <w:rPr>
          <w:b/>
          <w:bCs/>
        </w:rPr>
        <w:t xml:space="preserve">corrigés</w:t>
      </w:r>
      <w:r>
        <w:t xml:space="preserve"> ou </w:t>
      </w:r>
      <w:r>
        <w:rPr>
          <w:b/>
          <w:bCs/>
        </w:rPr>
        <w:t xml:space="preserve">rejetés</w:t>
      </w:r>
      <w:r>
        <w:t xml:space="preserve"> après revue humaine.</w:t>
      </w:r>
    </w:p>
    <w:p>
      <w:pPr>
        <w:pStyle w:val="ListParagraph"/>
        <w:numPr>
          <w:ilvl w:val="0"/>
          <w:numId w:val="3"/>
        </w:numPr>
        <w:spacing w:after="60"/>
      </w:pPr>
      <w:r>
        <w:t xml:space="preserve">Nombre de </w:t>
      </w:r>
      <w:r>
        <w:rPr>
          <w:b/>
          <w:bCs/>
        </w:rPr>
        <w:t xml:space="preserve">défauts réels détectés</w:t>
      </w:r>
      <w:r>
        <w:t xml:space="preserve">.</w:t>
      </w:r>
    </w:p>
    <w:p>
      <w:pPr>
        <w:pStyle w:val="ListParagraph"/>
        <w:numPr>
          <w:ilvl w:val="0"/>
          <w:numId w:val="3"/>
        </w:numPr>
        <w:spacing w:after="60"/>
      </w:pPr>
      <w:r>
        <w:rPr>
          <w:b/>
          <w:bCs/>
        </w:rPr>
        <w:t xml:space="preserve">Temps</w:t>
      </w:r>
      <w:r>
        <w:t xml:space="preserve"> de conception, comparé à la méthode manuelle.</w:t>
      </w:r>
    </w:p>
    <w:p>
      <w:pPr>
        <w:pStyle w:val="Heading2"/>
        <w:spacing w:after="120" w:before="280"/>
      </w:pPr>
      <w:r>
        <w:t xml:space="preserve">6. Plan de chapitre suggéré</w:t>
      </w:r>
    </w:p>
    <w:p>
      <w:pPr>
        <w:pStyle w:val="ListParagraph"/>
        <w:numPr>
          <w:ilvl w:val="0"/>
          <w:numId w:val="6"/>
        </w:numPr>
        <w:spacing w:after="60"/>
      </w:pPr>
      <w:r>
        <w:t xml:space="preserve">Cadre normatif et notion d'oracle</w:t>
      </w:r>
    </w:p>
    <w:p>
      <w:pPr>
        <w:pStyle w:val="ListParagraph"/>
        <w:numPr>
          <w:ilvl w:val="0"/>
          <w:numId w:val="6"/>
        </w:numPr>
        <w:spacing w:after="60"/>
      </w:pPr>
      <w:r>
        <w:t xml:space="preserve">Panorama des méthodes (taxonomie A à E) et tableau comparatif</w:t>
      </w:r>
    </w:p>
    <w:p>
      <w:pPr>
        <w:pStyle w:val="ListParagraph"/>
        <w:numPr>
          <w:ilvl w:val="0"/>
          <w:numId w:val="6"/>
        </w:numPr>
        <w:spacing w:after="60"/>
      </w:pPr>
      <w:r>
        <w:t xml:space="preserve">Apports des LLM : les quatre rôles et l'applicabilité par méthode</w:t>
      </w:r>
    </w:p>
    <w:p>
      <w:pPr>
        <w:pStyle w:val="ListParagraph"/>
        <w:numPr>
          <w:ilvl w:val="0"/>
          <w:numId w:val="6"/>
        </w:numPr>
        <w:spacing w:after="60"/>
      </w:pPr>
      <w:r>
        <w:t xml:space="preserve">Processus proposé de génération assistée par LLM</w:t>
      </w:r>
    </w:p>
    <w:p>
      <w:pPr>
        <w:pStyle w:val="ListParagraph"/>
        <w:numPr>
          <w:ilvl w:val="0"/>
          <w:numId w:val="6"/>
        </w:numPr>
        <w:spacing w:after="60"/>
      </w:pPr>
      <w:r>
        <w:t xml:space="preserve">Expérimentation sur le projet de stage (indicateurs ci-dessus)</w:t>
      </w:r>
    </w:p>
    <w:p>
      <w:pPr>
        <w:pStyle w:val="ListParagraph"/>
        <w:numPr>
          <w:ilvl w:val="0"/>
          <w:numId w:val="6"/>
        </w:numPr>
        <w:spacing w:after="60"/>
      </w:pPr>
      <w:r>
        <w:t xml:space="preserve">Limites, risques et perspectives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abstractNum w:abstractNumId="3" w15:restartNumberingAfterBreak="0">
    <w:multiLevelType w:val="hybridMultilevel"/>
    <w:lvl w:ilvl="0" w15:tentative="1">
      <w:start w:val="1"/>
      <w:numFmt w:val="decimal"/>
      <w:lvlText w:val="%1."/>
      <w:lvlJc w:val="left"/>
      <w:pPr>
        <w:ind w:left="500" w:hanging="300"/>
      </w:pPr>
    </w:lvl>
  </w:abstractNum>
  <w:abstractNum w:abstractNumId="4" w15:restartNumberingAfterBreak="0">
    <w:multiLevelType w:val="hybridMultilevel"/>
    <w:lvl w:ilvl="0" w15:tentative="1">
      <w:start w:val="1"/>
      <w:numFmt w:val="decimal"/>
      <w:lvlText w:val="%1."/>
      <w:lvlJc w:val="left"/>
      <w:pPr>
        <w:ind w:left="500" w:hanging="300"/>
      </w:pPr>
    </w:lvl>
  </w:abstractNum>
  <w:abstractNum w:abstractNumId="5" w15:restartNumberingAfterBreak="0">
    <w:multiLevelType w:val="hybridMultilevel"/>
    <w:lvl w:ilvl="0" w15:tentative="1">
      <w:start w:val="1"/>
      <w:numFmt w:val="decimal"/>
      <w:lvlText w:val="%1."/>
      <w:lvlJc w:val="left"/>
      <w:pPr>
        <w:ind w:left="500" w:hanging="300"/>
      </w:pPr>
    </w:lvl>
  </w:abstractNum>
  <w:abstractNum w:abstractNumId="6" w15:restartNumberingAfterBreak="0">
    <w:multiLevelType w:val="hybridMultilevel"/>
    <w:lvl w:ilvl="0" w15:tentative="1">
      <w:start w:val="1"/>
      <w:numFmt w:val="decimal"/>
      <w:lvlText w:val="%1."/>
      <w:lvlJc w:val="left"/>
      <w:pPr>
        <w:ind w:left="500" w:hanging="300"/>
      </w:pPr>
    </w:lvl>
  </w:abstractNum>
  <w:abstractNum w:abstractNumId="7"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3864"/>
      <w:sz w:val="32"/>
      <w:szCs w:val="32"/>
    </w:rPr>
  </w:style>
  <w:style w:type="paragraph" w:styleId="Heading2">
    <w:name w:val="Heading 2"/>
    <w:basedOn w:val="Normal"/>
    <w:next w:val="Normal"/>
    <w:qFormat/>
    <w:pPr>
      <w:outlineLvl w:val="1"/>
    </w:pPr>
    <w:rPr>
      <w:b/>
      <w:bCs/>
      <w:color w:val="2E5597"/>
      <w:sz w:val="26"/>
      <w:szCs w:val="26"/>
    </w:rPr>
  </w:style>
  <w:style w:type="paragraph" w:styleId="Heading3">
    <w:name w:val="Heading 3"/>
    <w:basedOn w:val="Normal"/>
    <w:next w:val="Normal"/>
    <w:qFormat/>
    <w:pPr>
      <w:outlineLvl w:val="2"/>
    </w:pPr>
    <w:rPr>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Méthodes de génération de cas de test</dc:title>
  <dc:creator>Mémoire de stage</dc:creator>
  <cp:lastModifiedBy>Un-named</cp:lastModifiedBy>
  <cp:revision>1</cp:revision>
  <dcterms:created xsi:type="dcterms:W3CDTF">2026-10-03T13:59:23.669Z</dcterms:created>
  <dcterms:modified xsi:type="dcterms:W3CDTF">2026-10-03T13:59:23.677Z</dcterms:modified>
</cp:coreProperties>
</file>

<file path=docProps/custom.xml><?xml version="1.0" encoding="utf-8"?>
<Properties xmlns="http://schemas.openxmlformats.org/officeDocument/2006/custom-properties" xmlns:vt="http://schemas.openxmlformats.org/officeDocument/2006/docPropsVTypes"/>
</file>