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20E8" w14:textId="7BB3EC54" w:rsidR="00B132C8" w:rsidRPr="00003AC8" w:rsidRDefault="00B132C8" w:rsidP="00B132C8">
      <w:pPr>
        <w:spacing w:line="240" w:lineRule="auto"/>
        <w:jc w:val="center"/>
        <w:rPr>
          <w:rFonts w:ascii="Times New Roman" w:hAnsi="Times New Roman" w:cs="Times New Roman"/>
          <w:b/>
          <w:bCs/>
        </w:rPr>
      </w:pPr>
      <w:r w:rsidRPr="00003AC8">
        <w:rPr>
          <w:rFonts w:ascii="Times New Roman" w:hAnsi="Times New Roman" w:cs="Times New Roman"/>
          <w:b/>
          <w:bCs/>
        </w:rPr>
        <w:t>Quantifying methodological inconsistency in sustainable aviation fuel assessment: a computational modeling framework for harmonized techno-economic and environmental evaluation</w:t>
      </w:r>
    </w:p>
    <w:p w14:paraId="12FD7E70"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rPr>
        <w:t xml:space="preserve">Joseph Amponsah </w:t>
      </w:r>
      <w:r w:rsidRPr="00514B32">
        <w:rPr>
          <w:rFonts w:ascii="Times New Roman" w:hAnsi="Times New Roman" w:cs="Times New Roman"/>
          <w:vertAlign w:val="superscript"/>
        </w:rPr>
        <w:t>1</w:t>
      </w:r>
      <w:r w:rsidRPr="00514B32">
        <w:rPr>
          <w:rFonts w:ascii="Times New Roman" w:hAnsi="Times New Roman" w:cs="Times New Roman"/>
        </w:rPr>
        <w:t xml:space="preserve">* , Kingsford Kweku Ansah </w:t>
      </w:r>
      <w:r w:rsidRPr="00514B32">
        <w:rPr>
          <w:rFonts w:ascii="Times New Roman" w:hAnsi="Times New Roman" w:cs="Times New Roman"/>
          <w:vertAlign w:val="superscript"/>
        </w:rPr>
        <w:t>2</w:t>
      </w:r>
      <w:r w:rsidRPr="00514B32">
        <w:rPr>
          <w:rFonts w:ascii="Times New Roman" w:hAnsi="Times New Roman" w:cs="Times New Roman"/>
        </w:rPr>
        <w:t>, Daniel Baffour Asare</w:t>
      </w:r>
      <w:r w:rsidRPr="00514B32">
        <w:rPr>
          <w:rFonts w:ascii="Times New Roman" w:hAnsi="Times New Roman" w:cs="Times New Roman"/>
          <w:vertAlign w:val="superscript"/>
        </w:rPr>
        <w:t>2</w:t>
      </w:r>
      <w:r w:rsidRPr="00514B32">
        <w:rPr>
          <w:rFonts w:ascii="Times New Roman" w:hAnsi="Times New Roman" w:cs="Times New Roman"/>
        </w:rPr>
        <w:t>, Frederick Ofori Siameh</w:t>
      </w:r>
      <w:r w:rsidRPr="00514B32">
        <w:rPr>
          <w:rFonts w:ascii="Times New Roman" w:hAnsi="Times New Roman" w:cs="Times New Roman"/>
          <w:vertAlign w:val="superscript"/>
        </w:rPr>
        <w:t>3</w:t>
      </w:r>
      <w:r w:rsidRPr="00514B32">
        <w:rPr>
          <w:rFonts w:ascii="Times New Roman" w:hAnsi="Times New Roman" w:cs="Times New Roman"/>
        </w:rPr>
        <w:t>, Emmanuel Owusu</w:t>
      </w:r>
      <w:r w:rsidRPr="00514B32">
        <w:rPr>
          <w:rFonts w:ascii="Times New Roman" w:hAnsi="Times New Roman" w:cs="Times New Roman"/>
          <w:vertAlign w:val="superscript"/>
        </w:rPr>
        <w:t>4</w:t>
      </w:r>
      <w:r w:rsidRPr="00514B32">
        <w:rPr>
          <w:rFonts w:ascii="Times New Roman" w:hAnsi="Times New Roman" w:cs="Times New Roman"/>
        </w:rPr>
        <w:t xml:space="preserve">, Albert </w:t>
      </w:r>
      <w:proofErr w:type="spellStart"/>
      <w:r w:rsidRPr="00514B32">
        <w:rPr>
          <w:rFonts w:ascii="Times New Roman" w:hAnsi="Times New Roman" w:cs="Times New Roman"/>
        </w:rPr>
        <w:t>Adjekum</w:t>
      </w:r>
      <w:proofErr w:type="spellEnd"/>
      <w:r w:rsidRPr="00514B32">
        <w:rPr>
          <w:rFonts w:ascii="Times New Roman" w:hAnsi="Times New Roman" w:cs="Times New Roman"/>
        </w:rPr>
        <w:t xml:space="preserve"> Essuman</w:t>
      </w:r>
      <w:r w:rsidRPr="00514B32">
        <w:rPr>
          <w:rFonts w:ascii="Times New Roman" w:hAnsi="Times New Roman" w:cs="Times New Roman"/>
          <w:vertAlign w:val="superscript"/>
        </w:rPr>
        <w:t>5</w:t>
      </w:r>
      <w:r w:rsidRPr="00514B32">
        <w:rPr>
          <w:rFonts w:ascii="Times New Roman" w:hAnsi="Times New Roman" w:cs="Times New Roman"/>
        </w:rPr>
        <w:t>, and Louis Morgan</w:t>
      </w:r>
      <w:r w:rsidRPr="00514B32">
        <w:rPr>
          <w:rFonts w:ascii="Times New Roman" w:hAnsi="Times New Roman" w:cs="Times New Roman"/>
          <w:vertAlign w:val="superscript"/>
        </w:rPr>
        <w:t>1</w:t>
      </w:r>
    </w:p>
    <w:p w14:paraId="21E846E3" w14:textId="77777777" w:rsidR="0005423E" w:rsidRPr="00514B32" w:rsidRDefault="0005423E" w:rsidP="0005423E">
      <w:pPr>
        <w:spacing w:after="0" w:line="240" w:lineRule="auto"/>
        <w:jc w:val="both"/>
        <w:rPr>
          <w:rFonts w:ascii="Times New Roman" w:hAnsi="Times New Roman" w:cs="Times New Roman"/>
        </w:rPr>
      </w:pPr>
    </w:p>
    <w:p w14:paraId="66F42EC8"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1</w:t>
      </w:r>
      <w:r w:rsidRPr="00514B32">
        <w:rPr>
          <w:rFonts w:ascii="Times New Roman" w:hAnsi="Times New Roman" w:cs="Times New Roman"/>
        </w:rPr>
        <w:t>Iowa State University, Department of Mechanical Engineering, 1801 S Lincoln Way, Ames, IA 50011, USA</w:t>
      </w:r>
    </w:p>
    <w:p w14:paraId="40B390F6"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2</w:t>
      </w:r>
      <w:r w:rsidRPr="00514B32">
        <w:rPr>
          <w:rFonts w:ascii="Times New Roman" w:hAnsi="Times New Roman" w:cs="Times New Roman"/>
        </w:rPr>
        <w:t>Cape Coast Technical University, Department of Mechanical Engineering, P O Box DL 50, Cape Coast, Ghana</w:t>
      </w:r>
    </w:p>
    <w:p w14:paraId="43CD1332"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3</w:t>
      </w:r>
      <w:r w:rsidRPr="00514B32">
        <w:rPr>
          <w:rFonts w:ascii="Times New Roman" w:hAnsi="Times New Roman" w:cs="Times New Roman"/>
        </w:rPr>
        <w:t>Accra Technical University, Department of Mechanical Engineering, P O Box DL 561, Barnes Road, Accra, Ghana</w:t>
      </w:r>
    </w:p>
    <w:p w14:paraId="2D66393C"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4</w:t>
      </w:r>
      <w:r w:rsidRPr="00514B32">
        <w:rPr>
          <w:rFonts w:ascii="Times New Roman" w:hAnsi="Times New Roman" w:cs="Times New Roman"/>
        </w:rPr>
        <w:t>Akenten Appiah-Menka University of Skills Training and Entrepreneurial Development, Faculty of Applied Sciences and Mathematics Education. P.O. Box 1277, Kumasi, Ghana</w:t>
      </w:r>
    </w:p>
    <w:p w14:paraId="45AE84FE" w14:textId="77777777" w:rsidR="0005423E" w:rsidRPr="00514B32" w:rsidRDefault="0005423E" w:rsidP="0005423E">
      <w:pPr>
        <w:spacing w:after="0" w:line="240" w:lineRule="auto"/>
        <w:jc w:val="both"/>
        <w:rPr>
          <w:rFonts w:ascii="Times New Roman" w:hAnsi="Times New Roman" w:cs="Times New Roman"/>
        </w:rPr>
      </w:pPr>
      <w:r w:rsidRPr="00514B32">
        <w:rPr>
          <w:rFonts w:ascii="Times New Roman" w:hAnsi="Times New Roman" w:cs="Times New Roman"/>
          <w:vertAlign w:val="superscript"/>
        </w:rPr>
        <w:t>5</w:t>
      </w:r>
      <w:r w:rsidRPr="00514B32">
        <w:rPr>
          <w:rFonts w:ascii="Times New Roman" w:hAnsi="Times New Roman" w:cs="Times New Roman"/>
        </w:rPr>
        <w:t>Iowa State University, Supply Chain Management Debbie and Jerry Ivy College of Business, 3223 Gerdin USA</w:t>
      </w:r>
    </w:p>
    <w:p w14:paraId="5330E814" w14:textId="77777777" w:rsidR="0005423E" w:rsidRPr="00514B32" w:rsidRDefault="0005423E" w:rsidP="0005423E">
      <w:pPr>
        <w:spacing w:after="0" w:line="240" w:lineRule="auto"/>
        <w:jc w:val="both"/>
        <w:rPr>
          <w:rFonts w:ascii="Times New Roman" w:hAnsi="Times New Roman" w:cs="Times New Roman"/>
        </w:rPr>
      </w:pPr>
    </w:p>
    <w:p w14:paraId="16441F02" w14:textId="77777777" w:rsidR="0005423E" w:rsidRPr="00514B32" w:rsidRDefault="0005423E" w:rsidP="0005423E">
      <w:pPr>
        <w:spacing w:after="0" w:line="240" w:lineRule="auto"/>
        <w:jc w:val="center"/>
        <w:rPr>
          <w:rFonts w:ascii="Times New Roman" w:hAnsi="Times New Roman" w:cs="Times New Roman"/>
        </w:rPr>
      </w:pPr>
      <w:r w:rsidRPr="00514B32">
        <w:rPr>
          <w:rFonts w:ascii="Times New Roman" w:hAnsi="Times New Roman" w:cs="Times New Roman"/>
        </w:rPr>
        <w:t>*Corresponding author: joeampon@iastate.edu</w:t>
      </w:r>
    </w:p>
    <w:p w14:paraId="192A9E09" w14:textId="77777777" w:rsidR="0005423E" w:rsidRPr="00B132C8" w:rsidRDefault="0005423E" w:rsidP="00B132C8">
      <w:pPr>
        <w:spacing w:line="240" w:lineRule="auto"/>
        <w:jc w:val="center"/>
        <w:rPr>
          <w:rFonts w:ascii="Times New Roman" w:hAnsi="Times New Roman" w:cs="Times New Roman"/>
        </w:rPr>
      </w:pPr>
    </w:p>
    <w:p w14:paraId="72A53897" w14:textId="4F18FCC6" w:rsidR="00D24349" w:rsidRPr="00D24349" w:rsidRDefault="00D24349" w:rsidP="00D24349">
      <w:pPr>
        <w:spacing w:line="240" w:lineRule="auto"/>
        <w:jc w:val="both"/>
        <w:rPr>
          <w:rFonts w:ascii="Times New Roman" w:hAnsi="Times New Roman" w:cs="Times New Roman"/>
          <w:b/>
          <w:bCs/>
        </w:rPr>
      </w:pPr>
      <w:r w:rsidRPr="00D24349">
        <w:rPr>
          <w:rFonts w:ascii="Times New Roman" w:hAnsi="Times New Roman" w:cs="Times New Roman"/>
          <w:b/>
          <w:bCs/>
        </w:rPr>
        <w:t xml:space="preserve">Abstract </w:t>
      </w:r>
    </w:p>
    <w:p w14:paraId="4BC78730" w14:textId="77777777" w:rsidR="00063D6F" w:rsidRPr="00063D6F" w:rsidRDefault="00063D6F" w:rsidP="00D24349">
      <w:pPr>
        <w:spacing w:line="240" w:lineRule="auto"/>
        <w:jc w:val="both"/>
        <w:rPr>
          <w:rFonts w:ascii="Times New Roman" w:hAnsi="Times New Roman" w:cs="Times New Roman"/>
          <w:color w:val="000000"/>
        </w:rPr>
      </w:pPr>
      <w:r w:rsidRPr="00063D6F">
        <w:rPr>
          <w:rFonts w:ascii="Times New Roman" w:hAnsi="Times New Roman" w:cs="Times New Roman"/>
          <w:color w:val="000000"/>
        </w:rPr>
        <w:t>Sustainable aviation fuels are essential for meeting aviation sector decarbonization targets, yet techno-economic and life cycle assessments report widely varying costs and greenhouse gas emissions for nominally identical systems. At present, identifying the most promising pathway relies on assessments showing substantial dispersion, making it difficult to draw conclusive trends. Here, we use computational modeling of a corn stover alcohol-to-jet pathway combined with systematic review of 78 studies to demonstrate that methodological choices alone create 133% cost variation and 119% greenhouse gas variation for identical physical systems. We developed a three-tier harmonization framework and validated its effectiveness, showing variance reduction of 73% for costs and 64% for emissions when applied to literature data. A relevant aspect of this work is that these results rely on publicly verifiable data from National Renewable Energy Laboratory and Argonne National Laboratory sources. This study demonstrates that assessment methodology currently drives reported sustainable aviation fuel performance more strongly than underlying technology differences. With this work, we aim to establish harmonized practices that can accelerate pathway development and strengthen energy policy design.</w:t>
      </w:r>
    </w:p>
    <w:p w14:paraId="06312F33" w14:textId="27D905FD" w:rsidR="00D24349" w:rsidRDefault="00D24349" w:rsidP="00D24349">
      <w:pPr>
        <w:spacing w:line="240" w:lineRule="auto"/>
        <w:jc w:val="both"/>
        <w:rPr>
          <w:rFonts w:ascii="Times New Roman" w:hAnsi="Times New Roman" w:cs="Times New Roman"/>
          <w:i/>
          <w:iCs/>
        </w:rPr>
      </w:pPr>
      <w:r w:rsidRPr="00D24349">
        <w:rPr>
          <w:rFonts w:ascii="Times New Roman" w:hAnsi="Times New Roman" w:cs="Times New Roman"/>
        </w:rPr>
        <w:t xml:space="preserve">Keywords: </w:t>
      </w:r>
      <w:r w:rsidRPr="00D24349">
        <w:rPr>
          <w:rFonts w:ascii="Times New Roman" w:hAnsi="Times New Roman" w:cs="Times New Roman"/>
          <w:i/>
          <w:iCs/>
        </w:rPr>
        <w:t>sustainable aviation fuel, techno-economic analysis, life cycle assessment, methodological harmonization, carbon intensity</w:t>
      </w:r>
    </w:p>
    <w:p w14:paraId="1E520675" w14:textId="77777777" w:rsidR="00725E4C" w:rsidRDefault="00725E4C" w:rsidP="00D24349">
      <w:pPr>
        <w:spacing w:line="240" w:lineRule="auto"/>
        <w:jc w:val="both"/>
        <w:rPr>
          <w:rFonts w:ascii="Times New Roman" w:hAnsi="Times New Roman" w:cs="Times New Roman"/>
          <w:i/>
          <w:iCs/>
        </w:rPr>
      </w:pPr>
    </w:p>
    <w:p w14:paraId="4C650A15" w14:textId="77777777" w:rsidR="00725E4C" w:rsidRDefault="00725E4C" w:rsidP="00D24349">
      <w:pPr>
        <w:spacing w:line="240" w:lineRule="auto"/>
        <w:jc w:val="both"/>
        <w:rPr>
          <w:rFonts w:ascii="Times New Roman" w:hAnsi="Times New Roman" w:cs="Times New Roman"/>
          <w:i/>
          <w:iCs/>
        </w:rPr>
      </w:pPr>
    </w:p>
    <w:p w14:paraId="5B2B96FF" w14:textId="77777777" w:rsidR="00725E4C" w:rsidRDefault="00725E4C" w:rsidP="00D24349">
      <w:pPr>
        <w:spacing w:line="240" w:lineRule="auto"/>
        <w:jc w:val="both"/>
        <w:rPr>
          <w:rFonts w:ascii="Times New Roman" w:hAnsi="Times New Roman" w:cs="Times New Roman"/>
          <w:i/>
          <w:iCs/>
        </w:rPr>
      </w:pPr>
    </w:p>
    <w:p w14:paraId="3DE8D128" w14:textId="77777777" w:rsidR="00725E4C" w:rsidRDefault="00725E4C" w:rsidP="00D24349">
      <w:pPr>
        <w:spacing w:line="240" w:lineRule="auto"/>
        <w:jc w:val="both"/>
        <w:rPr>
          <w:rFonts w:ascii="Times New Roman" w:hAnsi="Times New Roman" w:cs="Times New Roman"/>
          <w:i/>
          <w:iCs/>
        </w:rPr>
      </w:pPr>
    </w:p>
    <w:p w14:paraId="29DA8229" w14:textId="77777777" w:rsidR="00725E4C" w:rsidRDefault="00725E4C" w:rsidP="00D24349">
      <w:pPr>
        <w:spacing w:line="240" w:lineRule="auto"/>
        <w:jc w:val="both"/>
        <w:rPr>
          <w:rFonts w:ascii="Times New Roman" w:hAnsi="Times New Roman" w:cs="Times New Roman"/>
          <w:i/>
          <w:iCs/>
        </w:rPr>
      </w:pPr>
    </w:p>
    <w:p w14:paraId="50DD540B" w14:textId="77777777" w:rsidR="00D24349" w:rsidRDefault="00D24349" w:rsidP="008D77CA">
      <w:pPr>
        <w:spacing w:line="240" w:lineRule="auto"/>
        <w:jc w:val="both"/>
        <w:rPr>
          <w:rFonts w:ascii="Times New Roman" w:hAnsi="Times New Roman" w:cs="Times New Roman"/>
          <w:i/>
          <w:iCs/>
        </w:rPr>
      </w:pPr>
    </w:p>
    <w:p w14:paraId="143A5B12" w14:textId="77777777" w:rsidR="00F45739" w:rsidRDefault="00F45739" w:rsidP="008D77CA">
      <w:pPr>
        <w:spacing w:line="240" w:lineRule="auto"/>
        <w:jc w:val="both"/>
        <w:rPr>
          <w:rFonts w:ascii="Times New Roman" w:hAnsi="Times New Roman" w:cs="Times New Roman"/>
          <w:b/>
          <w:bCs/>
        </w:rPr>
      </w:pPr>
    </w:p>
    <w:p w14:paraId="6C41A721" w14:textId="77777777" w:rsidR="00BE0DC1" w:rsidRDefault="00BE0DC1" w:rsidP="008D77CA">
      <w:pPr>
        <w:spacing w:line="240" w:lineRule="auto"/>
        <w:jc w:val="both"/>
        <w:rPr>
          <w:rFonts w:ascii="Times New Roman" w:hAnsi="Times New Roman" w:cs="Times New Roman"/>
          <w:b/>
          <w:bCs/>
        </w:rPr>
      </w:pPr>
    </w:p>
    <w:p w14:paraId="43405263" w14:textId="010FA944"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 xml:space="preserve">Introduction </w:t>
      </w:r>
    </w:p>
    <w:p w14:paraId="5307B788" w14:textId="1A1F9803"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 xml:space="preserve">Aviation contributes 2-3% of global CO₂ emissions but could reach 22% by 2050 under business-as-usual scenarios </w:t>
      </w:r>
      <w:sdt>
        <w:sdtPr>
          <w:rPr>
            <w:rFonts w:ascii="Times New Roman" w:hAnsi="Times New Roman" w:cs="Times New Roman"/>
            <w:color w:val="000000"/>
          </w:rPr>
          <w:tag w:val="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"/>
          <w:id w:val="-1429727246"/>
          <w:placeholder>
            <w:docPart w:val="DefaultPlaceholder_-1854013440"/>
          </w:placeholder>
        </w:sdtPr>
        <w:sdtContent>
          <w:r w:rsidR="00C4441E" w:rsidRPr="00C4441E">
            <w:rPr>
              <w:rFonts w:ascii="Times New Roman" w:hAnsi="Times New Roman" w:cs="Times New Roman"/>
              <w:color w:val="000000"/>
            </w:rPr>
            <w:t>[1–6]</w:t>
          </w:r>
        </w:sdtContent>
      </w:sdt>
      <w:r w:rsidRPr="00D94834">
        <w:rPr>
          <w:rFonts w:ascii="Times New Roman" w:hAnsi="Times New Roman" w:cs="Times New Roman"/>
        </w:rPr>
        <w:t>. The sector faces fundamental challenges that prevent easy decarbonization. Energy density requirements for long-haul flight exceed battery technology limits by orders of magnitude. Aircraft operational lifetimes spanning 20-30 years mean fleet turnover occurs slowly. These constraints make SAF the primary near-term option for aviation decarbonization.</w:t>
      </w:r>
    </w:p>
    <w:p w14:paraId="6A18AB74" w14:textId="5489B18D"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 xml:space="preserve">The International Air Transport Association (IATA) targets net-zero by 2050, with SAF providing 65% of needed reductions </w:t>
      </w:r>
      <w:sdt>
        <w:sdtPr>
          <w:rPr>
            <w:rFonts w:ascii="Times New Roman" w:hAnsi="Times New Roman" w:cs="Times New Roman"/>
            <w:color w:val="000000"/>
          </w:rPr>
          <w:tag w:val="MENDELEY_CITATION_v3_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"/>
          <w:id w:val="1295487838"/>
          <w:placeholder>
            <w:docPart w:val="DefaultPlaceholder_-1854013440"/>
          </w:placeholder>
        </w:sdtPr>
        <w:sdtContent>
          <w:r w:rsidR="00C4441E" w:rsidRPr="00C4441E">
            <w:rPr>
              <w:rFonts w:ascii="Times New Roman" w:hAnsi="Times New Roman" w:cs="Times New Roman"/>
              <w:color w:val="000000"/>
            </w:rPr>
            <w:t>[7,8]</w:t>
          </w:r>
        </w:sdtContent>
      </w:sdt>
      <w:r w:rsidRPr="00D94834">
        <w:rPr>
          <w:rFonts w:ascii="Times New Roman" w:hAnsi="Times New Roman" w:cs="Times New Roman"/>
        </w:rPr>
        <w:t xml:space="preserve">. Regulatory mandates reflect this urgency. EU </w:t>
      </w:r>
      <w:proofErr w:type="spellStart"/>
      <w:r w:rsidRPr="00D94834">
        <w:rPr>
          <w:rFonts w:ascii="Times New Roman" w:hAnsi="Times New Roman" w:cs="Times New Roman"/>
        </w:rPr>
        <w:t>ReFuelEU</w:t>
      </w:r>
      <w:proofErr w:type="spellEnd"/>
      <w:r w:rsidRPr="00D94834">
        <w:rPr>
          <w:rFonts w:ascii="Times New Roman" w:hAnsi="Times New Roman" w:cs="Times New Roman"/>
        </w:rPr>
        <w:t xml:space="preserve"> requires progressive blending from 2% in 2025 to 70% by 2050 </w:t>
      </w:r>
      <w:sdt>
        <w:sdtPr>
          <w:rPr>
            <w:rFonts w:ascii="Times New Roman" w:hAnsi="Times New Roman" w:cs="Times New Roman"/>
            <w:color w:val="000000"/>
          </w:rPr>
          <w:tag w:val="MENDELEY_CITATION_v3_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"/>
          <w:id w:val="-272327247"/>
          <w:placeholder>
            <w:docPart w:val="DefaultPlaceholder_-1854013440"/>
          </w:placeholder>
        </w:sdtPr>
        <w:sdtContent>
          <w:r w:rsidR="00C4441E" w:rsidRPr="00C4441E">
            <w:rPr>
              <w:rFonts w:ascii="Times New Roman" w:hAnsi="Times New Roman" w:cs="Times New Roman"/>
              <w:color w:val="000000"/>
            </w:rPr>
            <w:t>[9]</w:t>
          </w:r>
        </w:sdtContent>
      </w:sdt>
      <w:r w:rsidRPr="00D94834">
        <w:rPr>
          <w:rFonts w:ascii="Times New Roman" w:hAnsi="Times New Roman" w:cs="Times New Roman"/>
        </w:rPr>
        <w:t>. US targets call for 3 billion gallons annually by 2030 and 35 billion gallons by 2050</w:t>
      </w:r>
      <w:r w:rsidR="0039241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"/>
          <w:id w:val="-1180120371"/>
          <w:placeholder>
            <w:docPart w:val="DefaultPlaceholder_-1854013440"/>
          </w:placeholder>
        </w:sdtPr>
        <w:sdtContent>
          <w:r w:rsidR="00C4441E" w:rsidRPr="00C4441E">
            <w:rPr>
              <w:rFonts w:ascii="Times New Roman" w:hAnsi="Times New Roman" w:cs="Times New Roman"/>
              <w:color w:val="000000"/>
            </w:rPr>
            <w:t>[10]</w:t>
          </w:r>
        </w:sdtContent>
      </w:sdt>
      <w:r w:rsidRPr="00D94834">
        <w:rPr>
          <w:rFonts w:ascii="Times New Roman" w:hAnsi="Times New Roman" w:cs="Times New Roman"/>
        </w:rPr>
        <w:t>. These mandates create substantial market demand for SAF production capacity.</w:t>
      </w:r>
    </w:p>
    <w:p w14:paraId="4F76732E" w14:textId="37408E11"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Despite ambitious targets, SAF production reached only 1 million tons in 2024, representing 0.3% of jet fuel consumption</w:t>
      </w:r>
      <w:r w:rsidR="00993F7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"/>
          <w:id w:val="-892729845"/>
          <w:placeholder>
            <w:docPart w:val="DefaultPlaceholder_-1854013440"/>
          </w:placeholder>
        </w:sdtPr>
        <w:sdtContent>
          <w:r w:rsidR="00C4441E" w:rsidRPr="00C4441E">
            <w:rPr>
              <w:rFonts w:ascii="Times New Roman" w:hAnsi="Times New Roman" w:cs="Times New Roman"/>
              <w:color w:val="000000"/>
            </w:rPr>
            <w:t>[11]</w:t>
          </w:r>
        </w:sdtContent>
      </w:sdt>
      <w:r w:rsidRPr="00D94834">
        <w:rPr>
          <w:rFonts w:ascii="Times New Roman" w:hAnsi="Times New Roman" w:cs="Times New Roman"/>
        </w:rPr>
        <w:t xml:space="preserve">. This gap between targets and deployment stems from multiple barriers. Production costs remain 2-5 times higher than conventional jet fuel. Feedstock availability limits scale-up for many pathways. Technology readiness varies widely across conversion routes. Several pathways have received ASTM D7566 approval </w:t>
      </w:r>
      <w:sdt>
        <w:sdtPr>
          <w:rPr>
            <w:rFonts w:ascii="Times New Roman" w:hAnsi="Times New Roman" w:cs="Times New Roman"/>
            <w:color w:val="000000"/>
          </w:rPr>
          <w:tag w:val="MENDELEY_CITATION_v3_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"/>
          <w:id w:val="1594902714"/>
          <w:placeholder>
            <w:docPart w:val="DefaultPlaceholder_-1854013440"/>
          </w:placeholder>
        </w:sdtPr>
        <w:sdtContent>
          <w:r w:rsidR="00C4441E" w:rsidRPr="00C4441E">
            <w:rPr>
              <w:rFonts w:ascii="Times New Roman" w:hAnsi="Times New Roman" w:cs="Times New Roman"/>
              <w:color w:val="000000"/>
            </w:rPr>
            <w:t>[12]</w:t>
          </w:r>
        </w:sdtContent>
      </w:sdt>
      <w:r w:rsidRPr="00D94834">
        <w:rPr>
          <w:rFonts w:ascii="Times New Roman" w:hAnsi="Times New Roman" w:cs="Times New Roman"/>
        </w:rPr>
        <w:t xml:space="preserve">, including HEFA, FT, ATJ, and </w:t>
      </w:r>
      <w:proofErr w:type="spellStart"/>
      <w:r w:rsidRPr="00D94834">
        <w:rPr>
          <w:rFonts w:ascii="Times New Roman" w:hAnsi="Times New Roman" w:cs="Times New Roman"/>
        </w:rPr>
        <w:t>PtL</w:t>
      </w:r>
      <w:proofErr w:type="spellEnd"/>
      <w:r w:rsidRPr="00D94834">
        <w:rPr>
          <w:rFonts w:ascii="Times New Roman" w:hAnsi="Times New Roman" w:cs="Times New Roman"/>
        </w:rPr>
        <w:t>, but their relative performance remains contested.</w:t>
      </w:r>
    </w:p>
    <w:p w14:paraId="0E2D9716" w14:textId="77777777"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Identifying optimal pathways for specific feedstocks and regional contexts requires reliable performance comparisons. Investment decisions depend on accurate cost projections. Policy design requires valid emissions quantification. Technology development priorities need clear performance rankings. Published TEA and LCA studies should provide this guidance, yet they report drastically different metrics for nominally identical systems.</w:t>
      </w:r>
    </w:p>
    <w:p w14:paraId="0609E5A3" w14:textId="02EB8D13" w:rsidR="00D94834" w:rsidRPr="00D94834" w:rsidRDefault="00D94834" w:rsidP="00D94834">
      <w:pPr>
        <w:spacing w:line="240" w:lineRule="auto"/>
        <w:jc w:val="both"/>
        <w:rPr>
          <w:rFonts w:ascii="Times New Roman" w:hAnsi="Times New Roman" w:cs="Times New Roman"/>
        </w:rPr>
      </w:pPr>
      <w:r w:rsidRPr="00D94834">
        <w:rPr>
          <w:rFonts w:ascii="Times New Roman" w:hAnsi="Times New Roman" w:cs="Times New Roman"/>
        </w:rPr>
        <w:t xml:space="preserve">The same ATJ pathway using corn stover feedstock shows reported costs ranging from $1.20 to $4.50 per gallon across studies. Emissions estimates for identical HEFA systems span 15 to 45 </w:t>
      </w:r>
      <w:proofErr w:type="spellStart"/>
      <w:r w:rsidRPr="00D94834">
        <w:rPr>
          <w:rFonts w:ascii="Times New Roman" w:hAnsi="Times New Roman" w:cs="Times New Roman"/>
        </w:rPr>
        <w:t>gCO₂e</w:t>
      </w:r>
      <w:proofErr w:type="spellEnd"/>
      <w:r w:rsidRPr="00D94834">
        <w:rPr>
          <w:rFonts w:ascii="Times New Roman" w:hAnsi="Times New Roman" w:cs="Times New Roman"/>
        </w:rPr>
        <w:t>/MJ. This variation exceeds plausible technology differences. Previous reviews synthesize these ranges but cannot explain their origin</w:t>
      </w:r>
      <w:r w:rsidR="004923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c5NDkwYjUtMDgxYS00YzViLWIwNTUtN2U5OTI4NjE1ZmMwIiwicHJvcGVydGllcyI6eyJub3RlSW5kZXgiOjB9LCJpc0VkaXRlZCI6ZmFsc2UsIm1hbnVhbE92ZXJyaWRlIjp7ImlzTWFudWFsbHlPdmVycmlkZGVuIjpmYWxzZSwiY2l0ZXByb2NUZXh0IjoiWzEzLDE0XSIsIm1hbnVhbE92ZXJyaWRlVGV4dCI6IiJ9LCJjaXRhdGlvbkl0ZW1zIjpbeyJpZCI6IjlmNTNjNDA1LTkzNWQtMzU2My05ZWU4LTUxNjQ4ZTA0MjFiMCIsIml0ZW1EYXRhIjp7InR5cGUiOiJhcnRpY2xlLWpvdXJuYWwiLCJpZCI6IjlmNTNjNDA1LTkzNWQtMzU2My05ZWU4LTUxNjQ4ZTA0MjFiMC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M1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2MTBmMjQwLWEyNTktMzhjYy1hMTljLTA5YThlNzA4MDI5NSIsIml0ZW1EYXRhIjp7InR5cGUiOiJhcnRpY2xlLWpvdXJuYWwiLCJpZCI6IjE2MTBmMjQwLWEyNTktMzhjYy1hMTljLTA5YThlNzA4MDI5N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z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
          <w:id w:val="-2107485219"/>
          <w:placeholder>
            <w:docPart w:val="DefaultPlaceholder_-1854013440"/>
          </w:placeholder>
        </w:sdtPr>
        <w:sdtContent>
          <w:r w:rsidR="00C4441E" w:rsidRPr="00C4441E">
            <w:rPr>
              <w:rFonts w:ascii="Times New Roman" w:hAnsi="Times New Roman" w:cs="Times New Roman"/>
              <w:color w:val="000000"/>
            </w:rPr>
            <w:t>[13,14]</w:t>
          </w:r>
        </w:sdtContent>
      </w:sdt>
      <w:r w:rsidRPr="00D94834">
        <w:rPr>
          <w:rFonts w:ascii="Times New Roman" w:hAnsi="Times New Roman" w:cs="Times New Roman"/>
        </w:rPr>
        <w:t>. Studies attribute differences to technology performance without considering methodological sources. Researchers and policymakers lack quantitative understanding of how much variation stems from assessment choices versus genuine technology characteristics.</w:t>
      </w:r>
    </w:p>
    <w:p w14:paraId="0052571B" w14:textId="77777777"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This knowledge gap creates practical problems. Investors cannot determine which pathways offer best returns. Policymakers cannot identify which routes deserve support. Researchers cannot build on prior work when studies report contradictory results. The SAF field needs methods to distinguish methodological artifacts from technology performance.</w:t>
      </w:r>
    </w:p>
    <w:p w14:paraId="71E4477A" w14:textId="77777777"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 xml:space="preserve">We address this through computational modeling that isolates pure methodological effects. We selected corn stover ATJ as our case study because it represents intermediate maturity between commercial HEFA and emerging </w:t>
      </w:r>
      <w:proofErr w:type="spellStart"/>
      <w:r w:rsidRPr="008D77CA">
        <w:rPr>
          <w:rFonts w:ascii="Times New Roman" w:hAnsi="Times New Roman" w:cs="Times New Roman"/>
        </w:rPr>
        <w:t>PtL</w:t>
      </w:r>
      <w:proofErr w:type="spellEnd"/>
      <w:r w:rsidRPr="008D77CA">
        <w:rPr>
          <w:rFonts w:ascii="Times New Roman" w:hAnsi="Times New Roman" w:cs="Times New Roman"/>
        </w:rPr>
        <w:t xml:space="preserve">. High-quality NREL data enables full traceability to </w:t>
      </w:r>
      <w:r w:rsidRPr="008D77CA">
        <w:rPr>
          <w:rFonts w:ascii="Times New Roman" w:hAnsi="Times New Roman" w:cs="Times New Roman"/>
        </w:rPr>
        <w:lastRenderedPageBreak/>
        <w:t>verifiable sources. We systematically vary individual methodological choices while holding technology constant, quantifying the impact of each decision on reported outcomes.</w:t>
      </w:r>
    </w:p>
    <w:p w14:paraId="5D96F4A7" w14:textId="421B5E42"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 xml:space="preserve">We develop a three-tier harmonization framework validated against 78 literature studies and 10 independent external studies. We demonstrate that methodology creates 133% cost variation and 119% emission variation for identical systems, exceeding genuine technology differences by factors of 3-8. We provide open-source tools enabling immediate adoption across research groups. This work establishes that current assessment inconsistency obscures actual pathway </w:t>
      </w:r>
      <w:r w:rsidR="0046748E" w:rsidRPr="008D77CA">
        <w:rPr>
          <w:rFonts w:ascii="Times New Roman" w:hAnsi="Times New Roman" w:cs="Times New Roman"/>
        </w:rPr>
        <w:t>performance and</w:t>
      </w:r>
      <w:r w:rsidRPr="008D77CA">
        <w:rPr>
          <w:rFonts w:ascii="Times New Roman" w:hAnsi="Times New Roman" w:cs="Times New Roman"/>
        </w:rPr>
        <w:t xml:space="preserve"> shows that standardized methods restore reliability to SAF comparisons.</w:t>
      </w:r>
    </w:p>
    <w:p w14:paraId="0DC21792"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Novelty of This Work</w:t>
      </w:r>
    </w:p>
    <w:p w14:paraId="3021C416" w14:textId="00ECA93A" w:rsidR="00255D33" w:rsidRPr="00255D33" w:rsidRDefault="00255D33" w:rsidP="00255D33">
      <w:pPr>
        <w:spacing w:line="240" w:lineRule="auto"/>
        <w:jc w:val="both"/>
        <w:rPr>
          <w:rFonts w:ascii="Times New Roman" w:hAnsi="Times New Roman" w:cs="Times New Roman"/>
        </w:rPr>
      </w:pPr>
      <w:r w:rsidRPr="00255D33">
        <w:rPr>
          <w:rFonts w:ascii="Times New Roman" w:hAnsi="Times New Roman" w:cs="Times New Roman"/>
        </w:rPr>
        <w:t>Previous reviews synthesize SAF cost and emission ranges but cannot distinguish methodological artifacts from genuine technology differences</w:t>
      </w:r>
      <w:r w:rsidR="00B90BF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ZlMzI3YTQtYTZmNS00M2E0LWEyODAtOGQwOGM2ZDRjOGNiIiwicHJvcGVydGllcyI6eyJub3RlSW5kZXgiOjB9LCJpc0VkaXRlZCI6ZmFsc2UsIm1hbnVhbE92ZXJyaWRlIjp7ImlzTWFudWFsbHlPdmVycmlkZGVuIjpmYWxzZSwiY2l0ZXByb2NUZXh0IjoiWzE1LDE2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wNTIzNWQ4LTI0YzctMzNjOC04NTJiLTc1NTk2NjUwZmZiZSIsIml0ZW1EYXRhIjp7InR5cGUiOiJhcnRpY2xlLWpvdXJuYWwiLCJpZCI6IjEwNTIzNWQ4LTI0YzctMzNjOC04NTJiLTc1NTk2NjUwZmZiZ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0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
          <w:id w:val="585582031"/>
          <w:placeholder>
            <w:docPart w:val="DefaultPlaceholder_-1854013440"/>
          </w:placeholder>
        </w:sdtPr>
        <w:sdtContent>
          <w:r w:rsidR="00C4441E" w:rsidRPr="00C4441E">
            <w:rPr>
              <w:rFonts w:ascii="Times New Roman" w:hAnsi="Times New Roman" w:cs="Times New Roman"/>
              <w:color w:val="000000"/>
            </w:rPr>
            <w:t>[15,16]</w:t>
          </w:r>
        </w:sdtContent>
      </w:sdt>
      <w:r w:rsidRPr="00255D33">
        <w:rPr>
          <w:rFonts w:ascii="Times New Roman" w:hAnsi="Times New Roman" w:cs="Times New Roman"/>
        </w:rPr>
        <w:t xml:space="preserve">. For example, </w:t>
      </w:r>
      <w:sdt>
        <w:sdtPr>
          <w:rPr>
            <w:rFonts w:ascii="Times New Roman" w:hAnsi="Times New Roman" w:cs="Times New Roman"/>
            <w:color w:val="000000"/>
          </w:rPr>
          <w:tag w:val="MENDELEY_CITATION_v3_eyJjaXRhdGlvbklEIjoiTUVOREVMRVlfQ0lUQVRJT05fN2I0NzgxNmQtMTY1Ni00NGM5LTgyZWMtOTMwOGI3NGVjNjJkIiwicHJvcGVydGllcyI6eyJub3RlSW5kZXgiOjB9LCJpc0VkaXRlZCI6ZmFsc2UsIm1hbnVhbE92ZXJyaWRlIjp7ImlzTWFudWFsbHlPdmVycmlkZGVuIjpmYWxzZSwiY2l0ZXByb2NUZXh0IjoiWzE1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1dfQ=="/>
          <w:id w:val="2048801320"/>
          <w:placeholder>
            <w:docPart w:val="DefaultPlaceholder_-1854013440"/>
          </w:placeholder>
        </w:sdtPr>
        <w:sdtContent>
          <w:r w:rsidR="00C4441E" w:rsidRPr="00C4441E">
            <w:rPr>
              <w:rFonts w:ascii="Times New Roman" w:hAnsi="Times New Roman" w:cs="Times New Roman"/>
              <w:color w:val="000000"/>
            </w:rPr>
            <w:t>[15]</w:t>
          </w:r>
        </w:sdtContent>
      </w:sdt>
      <w:r w:rsidRPr="00255D33">
        <w:rPr>
          <w:rFonts w:ascii="Times New Roman" w:hAnsi="Times New Roman" w:cs="Times New Roman"/>
        </w:rPr>
        <w:t xml:space="preserve"> reported costs spanning $0.50-7.50/L across pathways but attributed all variation to technology without quantifying methodological contributions. We use computational modeling to isolate pure methodological effects. This approach quantifies that methodology alone creates 133% cost variation ($1.33-3.09/GGE) and 119% emission variation (10.6-29.0 </w:t>
      </w:r>
      <w:proofErr w:type="spellStart"/>
      <w:r w:rsidRPr="00255D33">
        <w:rPr>
          <w:rFonts w:ascii="Times New Roman" w:hAnsi="Times New Roman" w:cs="Times New Roman"/>
        </w:rPr>
        <w:t>gCO₂e</w:t>
      </w:r>
      <w:proofErr w:type="spellEnd"/>
      <w:r w:rsidRPr="00255D33">
        <w:rPr>
          <w:rFonts w:ascii="Times New Roman" w:hAnsi="Times New Roman" w:cs="Times New Roman"/>
        </w:rPr>
        <w:t>/MJ) for identical corn stover ATJ systems, exceeding genuine technology differences (20-45% costs, 15-30% emissions) by factors of 3-8. No prior work has quantified this relationship.</w:t>
      </w:r>
    </w:p>
    <w:p w14:paraId="1A6C3CFD" w14:textId="77777777" w:rsidR="00255D33" w:rsidRPr="00255D33" w:rsidRDefault="00255D33" w:rsidP="00255D33">
      <w:pPr>
        <w:spacing w:line="240" w:lineRule="auto"/>
        <w:jc w:val="both"/>
        <w:rPr>
          <w:rFonts w:ascii="Times New Roman" w:hAnsi="Times New Roman" w:cs="Times New Roman"/>
        </w:rPr>
      </w:pPr>
      <w:r w:rsidRPr="00255D33">
        <w:rPr>
          <w:rFonts w:ascii="Times New Roman" w:hAnsi="Times New Roman" w:cs="Times New Roman"/>
        </w:rPr>
        <w:t>Existing standardization efforts focus on regulatory compliance. CORSIA guidelines (ICAO, 2021) and RED II criteria (European Commission, 2018) specify methods for pathway certification but do not address comparative assessment across pathways at different maturity levels. ISO 14040/14044 standards (ISO, 2006a, 2006b) provide general LCA principles but lack specificity for biofuel comparison. Our framework extends standardization to comparative research, integrating TEA and LCA while addressing six inconsistency sources including system boundaries (41% cost variation), discount rates (39% variation), and allocation methods (11% emission variation).</w:t>
      </w:r>
    </w:p>
    <w:p w14:paraId="456C63D7" w14:textId="6CF0EC2D" w:rsidR="00255D33" w:rsidRPr="00255D33" w:rsidRDefault="00255D33" w:rsidP="00255D33">
      <w:pPr>
        <w:spacing w:line="240" w:lineRule="auto"/>
        <w:jc w:val="both"/>
        <w:rPr>
          <w:rFonts w:ascii="Times New Roman" w:hAnsi="Times New Roman" w:cs="Times New Roman"/>
        </w:rPr>
      </w:pPr>
      <w:r w:rsidRPr="00255D33">
        <w:rPr>
          <w:rFonts w:ascii="Times New Roman" w:hAnsi="Times New Roman" w:cs="Times New Roman"/>
        </w:rPr>
        <w:t>We validate effectiveness through 78 literature studies (2010-2024) and 10 independent external studies (2025). Internal validation demonstrates 73% cost variation reduction (CV: 35%</w:t>
      </w:r>
      <w:r w:rsidR="009B5737">
        <w:rPr>
          <w:rFonts w:ascii="Times New Roman" w:hAnsi="Times New Roman" w:cs="Times New Roman"/>
        </w:rPr>
        <w:t>-</w:t>
      </w:r>
      <w:r w:rsidRPr="00255D33">
        <w:rPr>
          <w:rFonts w:ascii="Times New Roman" w:hAnsi="Times New Roman" w:cs="Times New Roman"/>
        </w:rPr>
        <w:t>13%, 95% CI: 68-78%) and 64% emission reduction (CV: 27%</w:t>
      </w:r>
      <w:r w:rsidR="009B5737">
        <w:rPr>
          <w:rFonts w:ascii="Times New Roman" w:hAnsi="Times New Roman" w:cs="Times New Roman"/>
        </w:rPr>
        <w:t>-</w:t>
      </w:r>
      <w:r w:rsidRPr="00255D33">
        <w:rPr>
          <w:rFonts w:ascii="Times New Roman" w:hAnsi="Times New Roman" w:cs="Times New Roman"/>
        </w:rPr>
        <w:t xml:space="preserve">4%, 95% CI: 58-70%). External validation confirms generalizability, reducing cross-pathway CV from 41% to 22% for costs and 35% to 18% for emissions. This validated performance distinguishes our framework from conceptual proposals lacking empirical testing. </w:t>
      </w:r>
    </w:p>
    <w:p w14:paraId="41B1534E"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Methodology</w:t>
      </w:r>
    </w:p>
    <w:p w14:paraId="4AD5B67F"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Systematic literature review</w:t>
      </w:r>
    </w:p>
    <w:p w14:paraId="03C6F3D7" w14:textId="41353252"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 xml:space="preserve">We conducted a systematic review </w:t>
      </w:r>
      <w:r w:rsidRPr="00EA7F8B">
        <w:rPr>
          <w:rFonts w:ascii="Times New Roman" w:hAnsi="Times New Roman" w:cs="Times New Roman"/>
        </w:rPr>
        <w:t>following PRISMA guidelines</w:t>
      </w:r>
      <w:r w:rsidR="00C5697A" w:rsidRPr="00EA7F8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Q1OTFhNjYtMTFkMS00YTQ5LTk4NjctMWIwODkwOGEzYzI5IiwicHJvcGVydGllcyI6eyJub3RlSW5kZXgiOjB9LCJpc0VkaXRlZCI6ZmFsc2UsIm1hbnVhbE92ZXJyaWRlIjp7ImlzTWFudWFsbHlPdmVycmlkZGVuIjpmYWxzZSwiY2l0ZXByb2NUZXh0IjoiWzE3LDE4XSIsIm1hbnVhbE92ZXJyaWRlVGV4dCI6IiJ9LCJjaXRhdGlvbkl0ZW1zIjpbeyJpZCI6Ijk2ZDBmOGE1LTg5MjYtMzZjOS1iN2EwLTk2MmViNTc5MjBkNSIsIml0ZW1EYXRhIjp7InR5cGUiOiJhcnRpY2xlLWpvdXJuYWwiLCJpZCI6Ijk2ZDBmOGE1LTg5MjYtMzZjOS1iN2EwLTk2MmViNTc5MjBkNSIsInRpdGxlIjoiVGhlIFBSSVNNQSAyMDIwIHN0YXRlbWVudDogY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hY2Nlc3NlZCI6eyJkYXRlLXBhcnRzIjpbWzIwMjYsMiwzXV19LCJET0kiOiIxMC4xMTM2L2Jtai5uNzEiLCJJU1NOIjoiMTc1NjE4MzMiLCJQTUlEIjoiMzM3ODA0Mzg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Sx7ImlkIjoiNTJiYjAxNGQtNzc3MC0zOWVmLWEzYjQtM2I4ZjU0NmZmMmViIiwiaXRlbURhdGEiOnsidHlwZSI6ImFydGljbGUtam91cm5hbCIsImlkIjoiNTJiYjAxNGQtNzc3MC0zOWVmLWEzYjQtM2I4ZjU0NmZmMmVi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yLDZ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
          <w:id w:val="-80908806"/>
          <w:placeholder>
            <w:docPart w:val="DefaultPlaceholder_-1854013440"/>
          </w:placeholder>
        </w:sdtPr>
        <w:sdtContent>
          <w:r w:rsidR="00C4441E" w:rsidRPr="00C4441E">
            <w:rPr>
              <w:rFonts w:ascii="Times New Roman" w:hAnsi="Times New Roman" w:cs="Times New Roman"/>
              <w:color w:val="000000"/>
            </w:rPr>
            <w:t>[17,18]</w:t>
          </w:r>
        </w:sdtContent>
      </w:sdt>
      <w:r w:rsidRPr="00EA7F8B">
        <w:rPr>
          <w:rFonts w:ascii="Times New Roman" w:hAnsi="Times New Roman" w:cs="Times New Roman"/>
        </w:rPr>
        <w:t xml:space="preserve"> to characterize current SAF assessment practices</w:t>
      </w:r>
      <w:r w:rsidR="00EA7F8B" w:rsidRPr="00EA7F8B">
        <w:rPr>
          <w:rFonts w:ascii="Times New Roman" w:hAnsi="Times New Roman" w:cs="Times New Roman"/>
        </w:rPr>
        <w:t xml:space="preserve"> as presented in </w:t>
      </w:r>
      <w:r w:rsidR="00EA7F8B" w:rsidRPr="00EA7F8B">
        <w:rPr>
          <w:rFonts w:ascii="Times New Roman" w:hAnsi="Times New Roman" w:cs="Times New Roman"/>
        </w:rPr>
        <w:fldChar w:fldCharType="begin"/>
      </w:r>
      <w:r w:rsidR="00EA7F8B" w:rsidRPr="00EA7F8B">
        <w:rPr>
          <w:rFonts w:ascii="Times New Roman" w:hAnsi="Times New Roman" w:cs="Times New Roman"/>
        </w:rPr>
        <w:instrText xml:space="preserve"> REF _Ref217050392 \h </w:instrText>
      </w:r>
      <w:r w:rsidR="00EA7F8B" w:rsidRPr="00EA7F8B">
        <w:rPr>
          <w:rFonts w:ascii="Times New Roman" w:hAnsi="Times New Roman" w:cs="Times New Roman"/>
        </w:rPr>
      </w:r>
      <w:r w:rsidR="00EA7F8B">
        <w:rPr>
          <w:rFonts w:ascii="Times New Roman" w:hAnsi="Times New Roman" w:cs="Times New Roman"/>
        </w:rPr>
        <w:instrText xml:space="preserve"> \* MERGEFORMAT </w:instrText>
      </w:r>
      <w:r w:rsidR="00EA7F8B" w:rsidRPr="00EA7F8B">
        <w:rPr>
          <w:rFonts w:ascii="Times New Roman" w:hAnsi="Times New Roman" w:cs="Times New Roman"/>
        </w:rPr>
        <w:fldChar w:fldCharType="separate"/>
      </w:r>
      <w:r w:rsidR="00EA7F8B" w:rsidRPr="00EA7F8B">
        <w:rPr>
          <w:rFonts w:ascii="Times New Roman" w:hAnsi="Times New Roman" w:cs="Times New Roman"/>
        </w:rPr>
        <w:t xml:space="preserve">Figure </w:t>
      </w:r>
      <w:r w:rsidR="00EA7F8B" w:rsidRPr="00EA7F8B">
        <w:rPr>
          <w:rFonts w:ascii="Times New Roman" w:hAnsi="Times New Roman" w:cs="Times New Roman"/>
          <w:noProof/>
        </w:rPr>
        <w:t>1</w:t>
      </w:r>
      <w:r w:rsidR="00EA7F8B" w:rsidRPr="00EA7F8B">
        <w:rPr>
          <w:rFonts w:ascii="Times New Roman" w:hAnsi="Times New Roman" w:cs="Times New Roman"/>
        </w:rPr>
        <w:fldChar w:fldCharType="end"/>
      </w:r>
      <w:r w:rsidRPr="00EA7F8B">
        <w:rPr>
          <w:rFonts w:ascii="Times New Roman" w:hAnsi="Times New Roman" w:cs="Times New Roman"/>
        </w:rPr>
        <w:t>. We searched Scopus, Web of Science, and Google Scholar from January 2010 through December 2024. The 2010 start date aligns with approval of the first ASTM D7566 annex for synthetic aviation fuels. Search terms</w:t>
      </w:r>
      <w:r w:rsidRPr="00B70093">
        <w:rPr>
          <w:rFonts w:ascii="Times New Roman" w:hAnsi="Times New Roman" w:cs="Times New Roman"/>
        </w:rPr>
        <w:t xml:space="preserve"> combined fuel descriptors (sustainable aviation fuel, </w:t>
      </w:r>
      <w:r w:rsidR="00E548A3" w:rsidRPr="00B70093">
        <w:rPr>
          <w:rFonts w:ascii="Times New Roman" w:hAnsi="Times New Roman" w:cs="Times New Roman"/>
        </w:rPr>
        <w:t>bio jet</w:t>
      </w:r>
      <w:r w:rsidRPr="00B70093">
        <w:rPr>
          <w:rFonts w:ascii="Times New Roman" w:hAnsi="Times New Roman" w:cs="Times New Roman"/>
        </w:rPr>
        <w:t>, renewable jet fuel, alternative aviation fuel) with assessment terms (techno-economic analysis, life cycle assessment, greenhouse gas emissions, production cost, carbon intensity) using Boolean operators.</w:t>
      </w:r>
    </w:p>
    <w:p w14:paraId="5C2A81AF" w14:textId="7DFFBD99" w:rsidR="00C12D7D" w:rsidRDefault="00B70093" w:rsidP="00B70093">
      <w:pPr>
        <w:spacing w:line="240" w:lineRule="auto"/>
        <w:jc w:val="both"/>
        <w:rPr>
          <w:rFonts w:ascii="Times New Roman" w:hAnsi="Times New Roman" w:cs="Times New Roman"/>
        </w:rPr>
      </w:pPr>
      <w:r w:rsidRPr="00B70093">
        <w:rPr>
          <w:rFonts w:ascii="Times New Roman" w:hAnsi="Times New Roman" w:cs="Times New Roman"/>
        </w:rPr>
        <w:lastRenderedPageBreak/>
        <w:t xml:space="preserve">Initial database searches identified 1,847 publications. We screened titles and abstracts to identify studies addressing SAF production pathways through quantitative modeling or experimental assessment, reducing the dataset to 312 relevant studies. We conducted full-text screening using predefined inclusion criteria. Studies were retained if they reported quantitative TEA results (capital costs, operating costs, minimum fuel selling price) or LCA metrics (GHG emissions, energy balances, water consumption) for at least one of four major conversion pathways: HEFA based on catalytic upgrading of lipid feedstocks, FT converting biomass-derived syngas into hydrocarbon fuels, ATJ upgrading ethanol or butanol intermediates, or </w:t>
      </w:r>
      <w:proofErr w:type="spellStart"/>
      <w:r w:rsidRPr="00B70093">
        <w:rPr>
          <w:rFonts w:ascii="Times New Roman" w:hAnsi="Times New Roman" w:cs="Times New Roman"/>
        </w:rPr>
        <w:t>PtL</w:t>
      </w:r>
      <w:proofErr w:type="spellEnd"/>
      <w:r w:rsidRPr="00B70093">
        <w:rPr>
          <w:rFonts w:ascii="Times New Roman" w:hAnsi="Times New Roman" w:cs="Times New Roman"/>
        </w:rPr>
        <w:t xml:space="preserve"> synthesizing fuels from renewable hydrogen and captured CO₂.</w:t>
      </w:r>
    </w:p>
    <w:p w14:paraId="13C56F4C" w14:textId="401F58E0" w:rsidR="00C12D7D" w:rsidRPr="00C12D7D" w:rsidRDefault="00B84BBF" w:rsidP="00D51575">
      <w:pPr>
        <w:keepNext/>
        <w:spacing w:after="0" w:line="240" w:lineRule="auto"/>
        <w:jc w:val="center"/>
        <w:rPr>
          <w:rFonts w:ascii="Times New Roman" w:hAnsi="Times New Roman" w:cs="Times New Roman"/>
          <w:sz w:val="16"/>
          <w:szCs w:val="16"/>
        </w:rPr>
      </w:pPr>
      <w:r w:rsidRPr="00B84BBF">
        <w:rPr>
          <w:rFonts w:ascii="Times New Roman" w:hAnsi="Times New Roman" w:cs="Times New Roman"/>
          <w:noProof/>
          <w:sz w:val="16"/>
          <w:szCs w:val="16"/>
        </w:rPr>
        <w:drawing>
          <wp:inline distT="0" distB="0" distL="0" distR="0" wp14:anchorId="0DA15CD9" wp14:editId="13CA4A65">
            <wp:extent cx="4902591" cy="3066738"/>
            <wp:effectExtent l="0" t="0" r="0" b="0"/>
            <wp:docPr id="4387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4185" name="Picture 1" descr="A screenshot of a computer&#10;&#10;AI-generated content may be incorrect."/>
                    <pic:cNvPicPr/>
                  </pic:nvPicPr>
                  <pic:blipFill>
                    <a:blip r:embed="rId5"/>
                    <a:stretch>
                      <a:fillRect/>
                    </a:stretch>
                  </pic:blipFill>
                  <pic:spPr>
                    <a:xfrm>
                      <a:off x="0" y="0"/>
                      <a:ext cx="4912913" cy="3073195"/>
                    </a:xfrm>
                    <a:prstGeom prst="rect">
                      <a:avLst/>
                    </a:prstGeom>
                  </pic:spPr>
                </pic:pic>
              </a:graphicData>
            </a:graphic>
          </wp:inline>
        </w:drawing>
      </w:r>
    </w:p>
    <w:p w14:paraId="20D6DD52" w14:textId="5AE09795" w:rsidR="00C12D7D" w:rsidRPr="008E22E4" w:rsidRDefault="00C12D7D" w:rsidP="008E22E4">
      <w:pPr>
        <w:pStyle w:val="Caption"/>
        <w:spacing w:after="0"/>
        <w:jc w:val="center"/>
        <w:rPr>
          <w:rFonts w:ascii="Times New Roman" w:hAnsi="Times New Roman" w:cs="Times New Roman"/>
          <w:sz w:val="16"/>
          <w:szCs w:val="16"/>
        </w:rPr>
      </w:pPr>
      <w:bookmarkStart w:id="0" w:name="_Ref217050392"/>
      <w:r w:rsidRPr="00C12D7D">
        <w:rPr>
          <w:rFonts w:ascii="Times New Roman" w:hAnsi="Times New Roman" w:cs="Times New Roman"/>
          <w:sz w:val="16"/>
          <w:szCs w:val="16"/>
        </w:rPr>
        <w:t xml:space="preserve">Figure </w:t>
      </w:r>
      <w:r w:rsidRPr="00C12D7D">
        <w:rPr>
          <w:rFonts w:ascii="Times New Roman" w:hAnsi="Times New Roman" w:cs="Times New Roman"/>
          <w:sz w:val="16"/>
          <w:szCs w:val="16"/>
        </w:rPr>
        <w:fldChar w:fldCharType="begin"/>
      </w:r>
      <w:r w:rsidRPr="00C12D7D">
        <w:rPr>
          <w:rFonts w:ascii="Times New Roman" w:hAnsi="Times New Roman" w:cs="Times New Roman"/>
          <w:sz w:val="16"/>
          <w:szCs w:val="16"/>
        </w:rPr>
        <w:instrText>SEQ Figure \* ARABIC</w:instrText>
      </w:r>
      <w:r w:rsidRPr="00C12D7D">
        <w:rPr>
          <w:rFonts w:ascii="Times New Roman" w:hAnsi="Times New Roman" w:cs="Times New Roman"/>
          <w:sz w:val="16"/>
          <w:szCs w:val="16"/>
        </w:rPr>
        <w:fldChar w:fldCharType="separate"/>
      </w:r>
      <w:r w:rsidR="000719C8">
        <w:rPr>
          <w:rFonts w:ascii="Times New Roman" w:hAnsi="Times New Roman" w:cs="Times New Roman"/>
          <w:noProof/>
          <w:sz w:val="16"/>
          <w:szCs w:val="16"/>
        </w:rPr>
        <w:t>1</w:t>
      </w:r>
      <w:r w:rsidRPr="00C12D7D">
        <w:rPr>
          <w:rFonts w:ascii="Times New Roman" w:hAnsi="Times New Roman" w:cs="Times New Roman"/>
          <w:sz w:val="16"/>
          <w:szCs w:val="16"/>
        </w:rPr>
        <w:fldChar w:fldCharType="end"/>
      </w:r>
      <w:bookmarkEnd w:id="0"/>
      <w:r w:rsidRPr="00C12D7D">
        <w:rPr>
          <w:rFonts w:ascii="Times New Roman" w:hAnsi="Times New Roman" w:cs="Times New Roman"/>
          <w:sz w:val="16"/>
          <w:szCs w:val="16"/>
        </w:rPr>
        <w:t xml:space="preserve">. PRISMA flow diagram illustrates the identification, screening, eligibility assessment, and inclusion of studies in the systematic review of SAF techno-economic and LCAs. </w:t>
      </w:r>
    </w:p>
    <w:p w14:paraId="2714D329" w14:textId="73EB3303" w:rsidR="003220BA" w:rsidRDefault="00B70093" w:rsidP="00CD0A96">
      <w:pPr>
        <w:spacing w:line="240" w:lineRule="auto"/>
        <w:jc w:val="both"/>
        <w:rPr>
          <w:rFonts w:ascii="Times New Roman" w:hAnsi="Times New Roman" w:cs="Times New Roman"/>
        </w:rPr>
      </w:pPr>
      <w:r w:rsidRPr="00B70093">
        <w:rPr>
          <w:rFonts w:ascii="Times New Roman" w:hAnsi="Times New Roman" w:cs="Times New Roman"/>
        </w:rPr>
        <w:t>We excluded studies focused exclusively on feedstock production, combustion performance, engine compatibility, or fuel certification without accompanying economic or environmental assessment data. Review articles and meta-analyses were excluded from the primary dataset to prevent data duplication but were consulted during framework development. Conference abstracts lacking full methodological details and studies presenting only qualitative discussions were excluded to ensure consistent data extraction.</w:t>
      </w:r>
      <w:r w:rsidR="002B6543">
        <w:rPr>
          <w:rFonts w:ascii="Times New Roman" w:hAnsi="Times New Roman" w:cs="Times New Roman"/>
        </w:rPr>
        <w:t xml:space="preserve"> </w:t>
      </w:r>
      <w:r w:rsidRPr="00B70093">
        <w:rPr>
          <w:rFonts w:ascii="Times New Roman" w:hAnsi="Times New Roman" w:cs="Times New Roman"/>
        </w:rPr>
        <w:t>The final dataset comprised 78 studies</w:t>
      </w:r>
      <w:r w:rsidR="00855D86">
        <w:rPr>
          <w:rFonts w:ascii="Times New Roman" w:hAnsi="Times New Roman" w:cs="Times New Roman"/>
        </w:rPr>
        <w:t>,</w:t>
      </w:r>
      <w:r w:rsidRPr="00B70093">
        <w:rPr>
          <w:rFonts w:ascii="Times New Roman" w:hAnsi="Times New Roman" w:cs="Times New Roman"/>
        </w:rPr>
        <w:t xml:space="preserve"> 42 reporting TEA only, 28 reporting LCA only, and 8 presenting integrated TEA-LCA. Pathway distribution was 28 HEFA studies, 19 FT studies, 22 ATJ studies, and 9 </w:t>
      </w:r>
      <w:proofErr w:type="spellStart"/>
      <w:r w:rsidRPr="00B70093">
        <w:rPr>
          <w:rFonts w:ascii="Times New Roman" w:hAnsi="Times New Roman" w:cs="Times New Roman"/>
        </w:rPr>
        <w:t>PtL</w:t>
      </w:r>
      <w:proofErr w:type="spellEnd"/>
      <w:r w:rsidRPr="00B70093">
        <w:rPr>
          <w:rFonts w:ascii="Times New Roman" w:hAnsi="Times New Roman" w:cs="Times New Roman"/>
        </w:rPr>
        <w:t xml:space="preserve"> studies. </w:t>
      </w:r>
      <w:r w:rsidR="00CD0A96" w:rsidRPr="00CD0A96">
        <w:rPr>
          <w:rFonts w:ascii="Times New Roman" w:hAnsi="Times New Roman" w:cs="Times New Roman"/>
        </w:rPr>
        <w:fldChar w:fldCharType="begin"/>
      </w:r>
      <w:r w:rsidR="00CD0A96" w:rsidRPr="00CD0A96">
        <w:rPr>
          <w:rFonts w:ascii="Times New Roman" w:hAnsi="Times New Roman" w:cs="Times New Roman"/>
        </w:rPr>
        <w:instrText xml:space="preserve"> REF _Ref221141155 \h </w:instrText>
      </w:r>
      <w:r w:rsidR="00CD0A96">
        <w:rPr>
          <w:rFonts w:ascii="Times New Roman" w:hAnsi="Times New Roman" w:cs="Times New Roman"/>
        </w:rPr>
        <w:instrText xml:space="preserve"> \* MERGEFORMAT </w:instrText>
      </w:r>
      <w:r w:rsidR="00CD0A96" w:rsidRPr="00CD0A96">
        <w:rPr>
          <w:rFonts w:ascii="Times New Roman" w:hAnsi="Times New Roman" w:cs="Times New Roman"/>
        </w:rPr>
      </w:r>
      <w:r w:rsidR="00CD0A96" w:rsidRPr="00CD0A96">
        <w:rPr>
          <w:rFonts w:ascii="Times New Roman" w:hAnsi="Times New Roman" w:cs="Times New Roman"/>
        </w:rPr>
        <w:fldChar w:fldCharType="separate"/>
      </w:r>
      <w:r w:rsidR="00CD0A96" w:rsidRPr="00CD0A96">
        <w:rPr>
          <w:rFonts w:ascii="Times New Roman" w:hAnsi="Times New Roman" w:cs="Times New Roman"/>
        </w:rPr>
        <w:t xml:space="preserve">Table </w:t>
      </w:r>
      <w:r w:rsidR="00CD0A96" w:rsidRPr="00CD0A96">
        <w:rPr>
          <w:rFonts w:ascii="Times New Roman" w:hAnsi="Times New Roman" w:cs="Times New Roman"/>
          <w:noProof/>
        </w:rPr>
        <w:t>1</w:t>
      </w:r>
      <w:r w:rsidR="00CD0A96" w:rsidRPr="00CD0A96">
        <w:rPr>
          <w:rFonts w:ascii="Times New Roman" w:hAnsi="Times New Roman" w:cs="Times New Roman"/>
        </w:rPr>
        <w:fldChar w:fldCharType="end"/>
      </w:r>
      <w:r w:rsidRPr="00B70093">
        <w:rPr>
          <w:rFonts w:ascii="Times New Roman" w:hAnsi="Times New Roman" w:cs="Times New Roman"/>
        </w:rPr>
        <w:t xml:space="preserve"> summarizes extracted methodological characteristics.</w:t>
      </w:r>
    </w:p>
    <w:p w14:paraId="75A255F5" w14:textId="77777777" w:rsidR="00D008F1" w:rsidRPr="00D008F1" w:rsidRDefault="00D008F1" w:rsidP="00D008F1">
      <w:pPr>
        <w:pStyle w:val="Caption"/>
        <w:keepNext/>
        <w:rPr>
          <w:rFonts w:ascii="Times New Roman" w:hAnsi="Times New Roman" w:cs="Times New Roman"/>
          <w:sz w:val="16"/>
          <w:szCs w:val="16"/>
        </w:rPr>
      </w:pPr>
      <w:bookmarkStart w:id="1" w:name="_Ref221141155"/>
      <w:r w:rsidRPr="00D008F1">
        <w:rPr>
          <w:rFonts w:ascii="Times New Roman" w:hAnsi="Times New Roman" w:cs="Times New Roman"/>
          <w:sz w:val="16"/>
          <w:szCs w:val="16"/>
        </w:rPr>
        <w:t xml:space="preserve">Table </w:t>
      </w:r>
      <w:r w:rsidRPr="00D008F1">
        <w:rPr>
          <w:rFonts w:ascii="Times New Roman" w:hAnsi="Times New Roman" w:cs="Times New Roman"/>
          <w:sz w:val="16"/>
          <w:szCs w:val="16"/>
        </w:rPr>
        <w:fldChar w:fldCharType="begin"/>
      </w:r>
      <w:r w:rsidRPr="00D008F1">
        <w:rPr>
          <w:rFonts w:ascii="Times New Roman" w:hAnsi="Times New Roman" w:cs="Times New Roman"/>
          <w:sz w:val="16"/>
          <w:szCs w:val="16"/>
        </w:rPr>
        <w:instrText xml:space="preserve"> SEQ Table \* ARABIC </w:instrText>
      </w:r>
      <w:r w:rsidRPr="00D008F1">
        <w:rPr>
          <w:rFonts w:ascii="Times New Roman" w:hAnsi="Times New Roman" w:cs="Times New Roman"/>
          <w:sz w:val="16"/>
          <w:szCs w:val="16"/>
        </w:rPr>
        <w:fldChar w:fldCharType="separate"/>
      </w:r>
      <w:r w:rsidRPr="00D008F1">
        <w:rPr>
          <w:rFonts w:ascii="Times New Roman" w:hAnsi="Times New Roman" w:cs="Times New Roman"/>
          <w:noProof/>
          <w:sz w:val="16"/>
          <w:szCs w:val="16"/>
        </w:rPr>
        <w:t>1</w:t>
      </w:r>
      <w:r w:rsidRPr="00D008F1">
        <w:rPr>
          <w:rFonts w:ascii="Times New Roman" w:hAnsi="Times New Roman" w:cs="Times New Roman"/>
          <w:sz w:val="16"/>
          <w:szCs w:val="16"/>
        </w:rPr>
        <w:fldChar w:fldCharType="end"/>
      </w:r>
      <w:bookmarkEnd w:id="1"/>
      <w:r w:rsidRPr="00D008F1">
        <w:rPr>
          <w:rFonts w:ascii="Times New Roman" w:hAnsi="Times New Roman" w:cs="Times New Roman"/>
          <w:sz w:val="16"/>
          <w:szCs w:val="16"/>
        </w:rPr>
        <w:t>. Summary of methodological characteristics across 78 techno-economic and LCA studies of SAF pathways. Percentages indicate the share of studies within each pathway category. Reported distributions highlight substantial heterogeneity in functional units, system boundaries, allocation methods, data sources, and uncertainty treatment across all pathways.</w:t>
      </w:r>
    </w:p>
    <w:tbl>
      <w:tblPr>
        <w:tblStyle w:val="TableGrid"/>
        <w:tblW w:w="0" w:type="auto"/>
        <w:tblLayout w:type="fixed"/>
        <w:tblLook w:val="04A0" w:firstRow="1" w:lastRow="0" w:firstColumn="1" w:lastColumn="0" w:noHBand="0" w:noVBand="1"/>
      </w:tblPr>
      <w:tblGrid>
        <w:gridCol w:w="2245"/>
        <w:gridCol w:w="1440"/>
        <w:gridCol w:w="1620"/>
        <w:gridCol w:w="1280"/>
        <w:gridCol w:w="1721"/>
        <w:gridCol w:w="1044"/>
      </w:tblGrid>
      <w:tr w:rsidR="003220BA" w:rsidRPr="004F4255" w14:paraId="20C892E1" w14:textId="77777777" w:rsidTr="000A6D07">
        <w:tc>
          <w:tcPr>
            <w:tcW w:w="2245" w:type="dxa"/>
            <w:hideMark/>
          </w:tcPr>
          <w:p w14:paraId="69D81178"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Characteristic</w:t>
            </w:r>
          </w:p>
        </w:tc>
        <w:tc>
          <w:tcPr>
            <w:tcW w:w="1440" w:type="dxa"/>
            <w:hideMark/>
          </w:tcPr>
          <w:p w14:paraId="212320C8"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HEFA</w:t>
            </w:r>
          </w:p>
        </w:tc>
        <w:tc>
          <w:tcPr>
            <w:tcW w:w="1620" w:type="dxa"/>
            <w:hideMark/>
          </w:tcPr>
          <w:p w14:paraId="5BAD599E"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Fischer-Tropsch</w:t>
            </w:r>
          </w:p>
        </w:tc>
        <w:tc>
          <w:tcPr>
            <w:tcW w:w="1280" w:type="dxa"/>
            <w:hideMark/>
          </w:tcPr>
          <w:p w14:paraId="2453EEBF"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Alcohol-to-Jet</w:t>
            </w:r>
          </w:p>
        </w:tc>
        <w:tc>
          <w:tcPr>
            <w:tcW w:w="1721" w:type="dxa"/>
            <w:hideMark/>
          </w:tcPr>
          <w:p w14:paraId="42FAE1E3"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Power-to-Liquid</w:t>
            </w:r>
          </w:p>
        </w:tc>
        <w:tc>
          <w:tcPr>
            <w:tcW w:w="1044" w:type="dxa"/>
            <w:hideMark/>
          </w:tcPr>
          <w:p w14:paraId="2DB8ACC3" w14:textId="77777777" w:rsidR="003220BA" w:rsidRPr="00FB2179" w:rsidRDefault="003220BA" w:rsidP="003220BA">
            <w:pPr>
              <w:jc w:val="both"/>
              <w:rPr>
                <w:rFonts w:ascii="Times New Roman" w:hAnsi="Times New Roman" w:cs="Times New Roman"/>
                <w:b/>
                <w:bCs/>
                <w:sz w:val="18"/>
                <w:szCs w:val="18"/>
              </w:rPr>
            </w:pPr>
            <w:r w:rsidRPr="00FB2179">
              <w:rPr>
                <w:rFonts w:ascii="Times New Roman" w:hAnsi="Times New Roman" w:cs="Times New Roman"/>
                <w:b/>
                <w:bCs/>
                <w:sz w:val="18"/>
                <w:szCs w:val="18"/>
              </w:rPr>
              <w:t>Total</w:t>
            </w:r>
          </w:p>
        </w:tc>
      </w:tr>
      <w:tr w:rsidR="003220BA" w:rsidRPr="004F4255" w14:paraId="0ED96774" w14:textId="77777777" w:rsidTr="000A6D07">
        <w:tc>
          <w:tcPr>
            <w:tcW w:w="2245" w:type="dxa"/>
            <w:hideMark/>
          </w:tcPr>
          <w:p w14:paraId="49B773A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Number of Studies</w:t>
            </w:r>
          </w:p>
        </w:tc>
        <w:tc>
          <w:tcPr>
            <w:tcW w:w="1440" w:type="dxa"/>
            <w:hideMark/>
          </w:tcPr>
          <w:p w14:paraId="1DDC335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28</w:t>
            </w:r>
          </w:p>
        </w:tc>
        <w:tc>
          <w:tcPr>
            <w:tcW w:w="1620" w:type="dxa"/>
            <w:hideMark/>
          </w:tcPr>
          <w:p w14:paraId="23AB805B"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19</w:t>
            </w:r>
          </w:p>
        </w:tc>
        <w:tc>
          <w:tcPr>
            <w:tcW w:w="1280" w:type="dxa"/>
            <w:hideMark/>
          </w:tcPr>
          <w:p w14:paraId="0567E96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22</w:t>
            </w:r>
          </w:p>
        </w:tc>
        <w:tc>
          <w:tcPr>
            <w:tcW w:w="1721" w:type="dxa"/>
            <w:hideMark/>
          </w:tcPr>
          <w:p w14:paraId="7E7276D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9</w:t>
            </w:r>
          </w:p>
        </w:tc>
        <w:tc>
          <w:tcPr>
            <w:tcW w:w="1044" w:type="dxa"/>
            <w:hideMark/>
          </w:tcPr>
          <w:p w14:paraId="08465FE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78</w:t>
            </w:r>
          </w:p>
        </w:tc>
      </w:tr>
      <w:tr w:rsidR="003220BA" w:rsidRPr="004F4255" w14:paraId="5D6FFEA5" w14:textId="77777777" w:rsidTr="000A6D07">
        <w:tc>
          <w:tcPr>
            <w:tcW w:w="2245" w:type="dxa"/>
            <w:hideMark/>
          </w:tcPr>
          <w:p w14:paraId="45627467"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TEA Studies</w:t>
            </w:r>
          </w:p>
        </w:tc>
        <w:tc>
          <w:tcPr>
            <w:tcW w:w="1440" w:type="dxa"/>
            <w:hideMark/>
          </w:tcPr>
          <w:p w14:paraId="6D18742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15</w:t>
            </w:r>
          </w:p>
        </w:tc>
        <w:tc>
          <w:tcPr>
            <w:tcW w:w="1620" w:type="dxa"/>
            <w:hideMark/>
          </w:tcPr>
          <w:p w14:paraId="5E2CC2C0"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8</w:t>
            </w:r>
          </w:p>
        </w:tc>
        <w:tc>
          <w:tcPr>
            <w:tcW w:w="1280" w:type="dxa"/>
            <w:hideMark/>
          </w:tcPr>
          <w:p w14:paraId="76381DC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14</w:t>
            </w:r>
          </w:p>
        </w:tc>
        <w:tc>
          <w:tcPr>
            <w:tcW w:w="1721" w:type="dxa"/>
            <w:hideMark/>
          </w:tcPr>
          <w:p w14:paraId="61DB804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5</w:t>
            </w:r>
          </w:p>
        </w:tc>
        <w:tc>
          <w:tcPr>
            <w:tcW w:w="1044" w:type="dxa"/>
            <w:hideMark/>
          </w:tcPr>
          <w:p w14:paraId="3CD5497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42</w:t>
            </w:r>
          </w:p>
        </w:tc>
      </w:tr>
      <w:tr w:rsidR="003220BA" w:rsidRPr="004F4255" w14:paraId="008D62B7" w14:textId="77777777" w:rsidTr="000A6D07">
        <w:tc>
          <w:tcPr>
            <w:tcW w:w="2245" w:type="dxa"/>
            <w:hideMark/>
          </w:tcPr>
          <w:p w14:paraId="2C88E46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LCA Studies</w:t>
            </w:r>
          </w:p>
        </w:tc>
        <w:tc>
          <w:tcPr>
            <w:tcW w:w="1440" w:type="dxa"/>
            <w:hideMark/>
          </w:tcPr>
          <w:p w14:paraId="1AAFCCF7"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10</w:t>
            </w:r>
          </w:p>
        </w:tc>
        <w:tc>
          <w:tcPr>
            <w:tcW w:w="1620" w:type="dxa"/>
            <w:hideMark/>
          </w:tcPr>
          <w:p w14:paraId="6556EF6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8</w:t>
            </w:r>
          </w:p>
        </w:tc>
        <w:tc>
          <w:tcPr>
            <w:tcW w:w="1280" w:type="dxa"/>
            <w:hideMark/>
          </w:tcPr>
          <w:p w14:paraId="532A394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6</w:t>
            </w:r>
          </w:p>
        </w:tc>
        <w:tc>
          <w:tcPr>
            <w:tcW w:w="1721" w:type="dxa"/>
            <w:hideMark/>
          </w:tcPr>
          <w:p w14:paraId="15E5096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4</w:t>
            </w:r>
          </w:p>
        </w:tc>
        <w:tc>
          <w:tcPr>
            <w:tcW w:w="1044" w:type="dxa"/>
            <w:hideMark/>
          </w:tcPr>
          <w:p w14:paraId="0EA58FE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28</w:t>
            </w:r>
          </w:p>
        </w:tc>
      </w:tr>
      <w:tr w:rsidR="003220BA" w:rsidRPr="004F4255" w14:paraId="7DE91FC2" w14:textId="77777777" w:rsidTr="000A6D07">
        <w:tc>
          <w:tcPr>
            <w:tcW w:w="2245" w:type="dxa"/>
            <w:hideMark/>
          </w:tcPr>
          <w:p w14:paraId="4B10ADE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Integrated TEA/LCA</w:t>
            </w:r>
          </w:p>
        </w:tc>
        <w:tc>
          <w:tcPr>
            <w:tcW w:w="1440" w:type="dxa"/>
            <w:hideMark/>
          </w:tcPr>
          <w:p w14:paraId="59EBF27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3</w:t>
            </w:r>
          </w:p>
        </w:tc>
        <w:tc>
          <w:tcPr>
            <w:tcW w:w="1620" w:type="dxa"/>
            <w:hideMark/>
          </w:tcPr>
          <w:p w14:paraId="4BC2E24E"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3</w:t>
            </w:r>
          </w:p>
        </w:tc>
        <w:tc>
          <w:tcPr>
            <w:tcW w:w="1280" w:type="dxa"/>
            <w:hideMark/>
          </w:tcPr>
          <w:p w14:paraId="0E70A0F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w:t>
            </w:r>
          </w:p>
        </w:tc>
        <w:tc>
          <w:tcPr>
            <w:tcW w:w="1721" w:type="dxa"/>
            <w:hideMark/>
          </w:tcPr>
          <w:p w14:paraId="11DB899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0</w:t>
            </w:r>
          </w:p>
        </w:tc>
        <w:tc>
          <w:tcPr>
            <w:tcW w:w="1044" w:type="dxa"/>
            <w:hideMark/>
          </w:tcPr>
          <w:p w14:paraId="2E39E3E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8</w:t>
            </w:r>
          </w:p>
        </w:tc>
      </w:tr>
      <w:tr w:rsidR="003220BA" w:rsidRPr="004F4255" w14:paraId="4B691C45" w14:textId="77777777" w:rsidTr="000A6D07">
        <w:tc>
          <w:tcPr>
            <w:tcW w:w="2245" w:type="dxa"/>
            <w:hideMark/>
          </w:tcPr>
          <w:p w14:paraId="7374459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Publication Period</w:t>
            </w:r>
          </w:p>
        </w:tc>
        <w:tc>
          <w:tcPr>
            <w:tcW w:w="1440" w:type="dxa"/>
            <w:hideMark/>
          </w:tcPr>
          <w:p w14:paraId="4E9DC1B0"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2010-2024</w:t>
            </w:r>
          </w:p>
        </w:tc>
        <w:tc>
          <w:tcPr>
            <w:tcW w:w="1620" w:type="dxa"/>
            <w:hideMark/>
          </w:tcPr>
          <w:p w14:paraId="151C5A1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2010-2024</w:t>
            </w:r>
          </w:p>
        </w:tc>
        <w:tc>
          <w:tcPr>
            <w:tcW w:w="1280" w:type="dxa"/>
            <w:hideMark/>
          </w:tcPr>
          <w:p w14:paraId="7BB85C4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2010-2025</w:t>
            </w:r>
          </w:p>
        </w:tc>
        <w:tc>
          <w:tcPr>
            <w:tcW w:w="1721" w:type="dxa"/>
            <w:hideMark/>
          </w:tcPr>
          <w:p w14:paraId="6AB8CD4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2018-2025</w:t>
            </w:r>
          </w:p>
        </w:tc>
        <w:tc>
          <w:tcPr>
            <w:tcW w:w="1044" w:type="dxa"/>
            <w:hideMark/>
          </w:tcPr>
          <w:p w14:paraId="4EA92E7C"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2010-2025</w:t>
            </w:r>
          </w:p>
        </w:tc>
      </w:tr>
      <w:tr w:rsidR="003220BA" w:rsidRPr="004F4255" w14:paraId="106792E0" w14:textId="77777777" w:rsidTr="000A6D07">
        <w:tc>
          <w:tcPr>
            <w:tcW w:w="2245" w:type="dxa"/>
            <w:hideMark/>
          </w:tcPr>
          <w:p w14:paraId="1A6E5903"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lastRenderedPageBreak/>
              <w:t>Functional Unit (TEA)</w:t>
            </w:r>
          </w:p>
        </w:tc>
        <w:tc>
          <w:tcPr>
            <w:tcW w:w="1440" w:type="dxa"/>
            <w:hideMark/>
          </w:tcPr>
          <w:p w14:paraId="165988AE"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$/gal (43%), $/GGE (28%), $/GJ (18%)</w:t>
            </w:r>
          </w:p>
        </w:tc>
        <w:tc>
          <w:tcPr>
            <w:tcW w:w="1620" w:type="dxa"/>
            <w:hideMark/>
          </w:tcPr>
          <w:p w14:paraId="03DD44B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$/GJ (42%), $/gal (35%)</w:t>
            </w:r>
          </w:p>
        </w:tc>
        <w:tc>
          <w:tcPr>
            <w:tcW w:w="1280" w:type="dxa"/>
            <w:hideMark/>
          </w:tcPr>
          <w:p w14:paraId="5AA2019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$/gal (50%), $/GGE (32%)</w:t>
            </w:r>
          </w:p>
        </w:tc>
        <w:tc>
          <w:tcPr>
            <w:tcW w:w="1721" w:type="dxa"/>
            <w:hideMark/>
          </w:tcPr>
          <w:p w14:paraId="1423C0EB"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€/L (56%), $/GJ (33%)</w:t>
            </w:r>
          </w:p>
        </w:tc>
        <w:tc>
          <w:tcPr>
            <w:tcW w:w="1044" w:type="dxa"/>
            <w:hideMark/>
          </w:tcPr>
          <w:p w14:paraId="3AACC0A7"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Mixed</w:t>
            </w:r>
          </w:p>
        </w:tc>
      </w:tr>
      <w:tr w:rsidR="003220BA" w:rsidRPr="004F4255" w14:paraId="697468E5" w14:textId="77777777" w:rsidTr="000A6D07">
        <w:tc>
          <w:tcPr>
            <w:tcW w:w="2245" w:type="dxa"/>
            <w:hideMark/>
          </w:tcPr>
          <w:p w14:paraId="707A446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Functional Unit (LCA)</w:t>
            </w:r>
          </w:p>
        </w:tc>
        <w:tc>
          <w:tcPr>
            <w:tcW w:w="1440" w:type="dxa"/>
            <w:hideMark/>
          </w:tcPr>
          <w:p w14:paraId="1DA044D9"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(67%), kg/kg (22%)</w:t>
            </w:r>
          </w:p>
        </w:tc>
        <w:tc>
          <w:tcPr>
            <w:tcW w:w="1620" w:type="dxa"/>
            <w:hideMark/>
          </w:tcPr>
          <w:p w14:paraId="287DE950"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(75%)</w:t>
            </w:r>
          </w:p>
        </w:tc>
        <w:tc>
          <w:tcPr>
            <w:tcW w:w="1280" w:type="dxa"/>
            <w:hideMark/>
          </w:tcPr>
          <w:p w14:paraId="016C698C"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(83%)</w:t>
            </w:r>
          </w:p>
        </w:tc>
        <w:tc>
          <w:tcPr>
            <w:tcW w:w="1721" w:type="dxa"/>
            <w:hideMark/>
          </w:tcPr>
          <w:p w14:paraId="3719DE47"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(100%)</w:t>
            </w:r>
          </w:p>
        </w:tc>
        <w:tc>
          <w:tcPr>
            <w:tcW w:w="1044" w:type="dxa"/>
            <w:hideMark/>
          </w:tcPr>
          <w:p w14:paraId="76710908"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gCO₂e</w:t>
            </w:r>
            <w:proofErr w:type="spellEnd"/>
            <w:r w:rsidRPr="00FB2179">
              <w:rPr>
                <w:rFonts w:ascii="Times New Roman" w:hAnsi="Times New Roman" w:cs="Times New Roman"/>
                <w:sz w:val="18"/>
                <w:szCs w:val="18"/>
              </w:rPr>
              <w:t>/MJ (67%)</w:t>
            </w:r>
          </w:p>
        </w:tc>
      </w:tr>
      <w:tr w:rsidR="003220BA" w:rsidRPr="004F4255" w14:paraId="76208C4F" w14:textId="77777777" w:rsidTr="000A6D07">
        <w:tc>
          <w:tcPr>
            <w:tcW w:w="2245" w:type="dxa"/>
            <w:hideMark/>
          </w:tcPr>
          <w:p w14:paraId="31E9161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Allocation Method</w:t>
            </w:r>
          </w:p>
        </w:tc>
        <w:tc>
          <w:tcPr>
            <w:tcW w:w="1440" w:type="dxa"/>
            <w:hideMark/>
          </w:tcPr>
          <w:p w14:paraId="56018F0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(42%), Mass (28%), Economic (18%), System expansion (12%)</w:t>
            </w:r>
          </w:p>
        </w:tc>
        <w:tc>
          <w:tcPr>
            <w:tcW w:w="1620" w:type="dxa"/>
            <w:hideMark/>
          </w:tcPr>
          <w:p w14:paraId="14D9DAF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(53%), System expansion (26%), Mass (21%)</w:t>
            </w:r>
          </w:p>
        </w:tc>
        <w:tc>
          <w:tcPr>
            <w:tcW w:w="1280" w:type="dxa"/>
            <w:hideMark/>
          </w:tcPr>
          <w:p w14:paraId="04B2D9A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(50%), Economic (29%), Mass (14%), System expansion (7%)</w:t>
            </w:r>
          </w:p>
        </w:tc>
        <w:tc>
          <w:tcPr>
            <w:tcW w:w="1721" w:type="dxa"/>
            <w:hideMark/>
          </w:tcPr>
          <w:p w14:paraId="5C54A8EB"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System expansion (56%), Energy (44%)</w:t>
            </w:r>
          </w:p>
        </w:tc>
        <w:tc>
          <w:tcPr>
            <w:tcW w:w="1044" w:type="dxa"/>
            <w:hideMark/>
          </w:tcPr>
          <w:p w14:paraId="36E123A0"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Energy (42%)</w:t>
            </w:r>
          </w:p>
        </w:tc>
      </w:tr>
      <w:tr w:rsidR="003220BA" w:rsidRPr="004F4255" w14:paraId="6717F548" w14:textId="77777777" w:rsidTr="000A6D07">
        <w:tc>
          <w:tcPr>
            <w:tcW w:w="2245" w:type="dxa"/>
            <w:hideMark/>
          </w:tcPr>
          <w:p w14:paraId="59B3B513"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System Boundary (TEA)</w:t>
            </w:r>
          </w:p>
        </w:tc>
        <w:tc>
          <w:tcPr>
            <w:tcW w:w="1440" w:type="dxa"/>
            <w:hideMark/>
          </w:tcPr>
          <w:p w14:paraId="5E3675D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(62%), Gate-to-Gate (15%), Well-to-Pump (18%), Comprehensive (5%)</w:t>
            </w:r>
          </w:p>
        </w:tc>
        <w:tc>
          <w:tcPr>
            <w:tcW w:w="1620" w:type="dxa"/>
            <w:hideMark/>
          </w:tcPr>
          <w:p w14:paraId="6A538E1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(68%), Gate-to-Gate (21%), Well-to-Pump (11%)</w:t>
            </w:r>
          </w:p>
        </w:tc>
        <w:tc>
          <w:tcPr>
            <w:tcW w:w="1280" w:type="dxa"/>
            <w:hideMark/>
          </w:tcPr>
          <w:p w14:paraId="227E47FF"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(64%), Gate-to-Gate (14%), Well-to-Pump (14%), Comprehensive (8%)</w:t>
            </w:r>
          </w:p>
        </w:tc>
        <w:tc>
          <w:tcPr>
            <w:tcW w:w="1721" w:type="dxa"/>
            <w:hideMark/>
          </w:tcPr>
          <w:p w14:paraId="619CB3F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(60%), Well-to-Pump (40%)</w:t>
            </w:r>
          </w:p>
        </w:tc>
        <w:tc>
          <w:tcPr>
            <w:tcW w:w="1044" w:type="dxa"/>
            <w:hideMark/>
          </w:tcPr>
          <w:p w14:paraId="53B1CD25"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Well-to-Gate (62%)</w:t>
            </w:r>
          </w:p>
        </w:tc>
      </w:tr>
      <w:tr w:rsidR="003220BA" w:rsidRPr="004F4255" w14:paraId="5C4A00B4" w14:textId="77777777" w:rsidTr="000A6D07">
        <w:tc>
          <w:tcPr>
            <w:tcW w:w="2245" w:type="dxa"/>
            <w:hideMark/>
          </w:tcPr>
          <w:p w14:paraId="1D29BA2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System Boundary (LCA)</w:t>
            </w:r>
          </w:p>
        </w:tc>
        <w:tc>
          <w:tcPr>
            <w:tcW w:w="1440" w:type="dxa"/>
            <w:hideMark/>
          </w:tcPr>
          <w:p w14:paraId="64D637D6"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(45%), with LUC (38%), Comprehensive (17%)</w:t>
            </w:r>
          </w:p>
        </w:tc>
        <w:tc>
          <w:tcPr>
            <w:tcW w:w="1620" w:type="dxa"/>
            <w:hideMark/>
          </w:tcPr>
          <w:p w14:paraId="0929014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(42%), with LUC (32%), Comprehensive (26%)</w:t>
            </w:r>
          </w:p>
        </w:tc>
        <w:tc>
          <w:tcPr>
            <w:tcW w:w="1280" w:type="dxa"/>
            <w:hideMark/>
          </w:tcPr>
          <w:p w14:paraId="052205C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(50%), with LUC (33%), Comprehensive (17%)</w:t>
            </w:r>
          </w:p>
        </w:tc>
        <w:tc>
          <w:tcPr>
            <w:tcW w:w="1721" w:type="dxa"/>
            <w:hideMark/>
          </w:tcPr>
          <w:p w14:paraId="0543D9F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Comprehensive (75%), Core (25%)</w:t>
            </w:r>
          </w:p>
        </w:tc>
        <w:tc>
          <w:tcPr>
            <w:tcW w:w="1044" w:type="dxa"/>
            <w:hideMark/>
          </w:tcPr>
          <w:p w14:paraId="170CACB3"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Core (45%)</w:t>
            </w:r>
          </w:p>
        </w:tc>
      </w:tr>
      <w:tr w:rsidR="003220BA" w:rsidRPr="004F4255" w14:paraId="22CFFAD6" w14:textId="77777777" w:rsidTr="000A6D07">
        <w:tc>
          <w:tcPr>
            <w:tcW w:w="2245" w:type="dxa"/>
            <w:hideMark/>
          </w:tcPr>
          <w:p w14:paraId="1E09E3A4"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Uncertainty Analysis</w:t>
            </w:r>
          </w:p>
        </w:tc>
        <w:tc>
          <w:tcPr>
            <w:tcW w:w="1440" w:type="dxa"/>
            <w:hideMark/>
          </w:tcPr>
          <w:p w14:paraId="7C6ED3C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(36%), One-at-a-time (28%), Tornado (23%), Monte Carlo (13%)</w:t>
            </w:r>
          </w:p>
        </w:tc>
        <w:tc>
          <w:tcPr>
            <w:tcW w:w="1620" w:type="dxa"/>
            <w:hideMark/>
          </w:tcPr>
          <w:p w14:paraId="42BF8B41"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(32%), One-at-a-time (32%), Tornado (21%), Monte Carlo (15%)</w:t>
            </w:r>
          </w:p>
        </w:tc>
        <w:tc>
          <w:tcPr>
            <w:tcW w:w="1280" w:type="dxa"/>
            <w:hideMark/>
          </w:tcPr>
          <w:p w14:paraId="494E102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(41%), One-at-a-time (27%), Tornado (23%), Monte Carlo (9%)</w:t>
            </w:r>
          </w:p>
        </w:tc>
        <w:tc>
          <w:tcPr>
            <w:tcW w:w="1721" w:type="dxa"/>
            <w:hideMark/>
          </w:tcPr>
          <w:p w14:paraId="52CEBCAD"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(33%), Scenario (33%), Monte Carlo (22%), One-at-a-time (12%)</w:t>
            </w:r>
          </w:p>
        </w:tc>
        <w:tc>
          <w:tcPr>
            <w:tcW w:w="1044" w:type="dxa"/>
            <w:hideMark/>
          </w:tcPr>
          <w:p w14:paraId="6029132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None (36%)</w:t>
            </w:r>
          </w:p>
        </w:tc>
      </w:tr>
      <w:tr w:rsidR="003220BA" w:rsidRPr="004F4255" w14:paraId="710167E5" w14:textId="77777777" w:rsidTr="000A6D07">
        <w:tc>
          <w:tcPr>
            <w:tcW w:w="2245" w:type="dxa"/>
            <w:hideMark/>
          </w:tcPr>
          <w:p w14:paraId="1FD6A468"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b/>
                <w:bCs/>
                <w:sz w:val="18"/>
                <w:szCs w:val="18"/>
              </w:rPr>
              <w:t>Data Source (LCA)</w:t>
            </w:r>
          </w:p>
        </w:tc>
        <w:tc>
          <w:tcPr>
            <w:tcW w:w="1440" w:type="dxa"/>
            <w:hideMark/>
          </w:tcPr>
          <w:p w14:paraId="086DFA4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 xml:space="preserve">GREET (38%), Proprietary (32%), </w:t>
            </w: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(18%), Literature (12%)</w:t>
            </w:r>
          </w:p>
        </w:tc>
        <w:tc>
          <w:tcPr>
            <w:tcW w:w="1620" w:type="dxa"/>
            <w:hideMark/>
          </w:tcPr>
          <w:p w14:paraId="7E266C99"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 xml:space="preserve">GREET (42%), </w:t>
            </w: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(26%), Proprietary (21%), Literature (11%)</w:t>
            </w:r>
          </w:p>
        </w:tc>
        <w:tc>
          <w:tcPr>
            <w:tcW w:w="1280" w:type="dxa"/>
            <w:hideMark/>
          </w:tcPr>
          <w:p w14:paraId="23211362" w14:textId="55C7F7B1"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 xml:space="preserve">GREET (50%), Proprietary (25%), </w:t>
            </w: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(17%)</w:t>
            </w:r>
          </w:p>
        </w:tc>
        <w:tc>
          <w:tcPr>
            <w:tcW w:w="1721" w:type="dxa"/>
            <w:hideMark/>
          </w:tcPr>
          <w:p w14:paraId="46F15C5C" w14:textId="77777777" w:rsidR="003220BA" w:rsidRPr="00FB2179" w:rsidRDefault="003220BA" w:rsidP="003220BA">
            <w:pPr>
              <w:jc w:val="both"/>
              <w:rPr>
                <w:rFonts w:ascii="Times New Roman" w:hAnsi="Times New Roman" w:cs="Times New Roman"/>
                <w:sz w:val="18"/>
                <w:szCs w:val="18"/>
              </w:rPr>
            </w:pPr>
            <w:proofErr w:type="spellStart"/>
            <w:r w:rsidRPr="00FB2179">
              <w:rPr>
                <w:rFonts w:ascii="Times New Roman" w:hAnsi="Times New Roman" w:cs="Times New Roman"/>
                <w:sz w:val="18"/>
                <w:szCs w:val="18"/>
              </w:rPr>
              <w:t>SimaPro</w:t>
            </w:r>
            <w:proofErr w:type="spellEnd"/>
            <w:r w:rsidRPr="00FB2179">
              <w:rPr>
                <w:rFonts w:ascii="Times New Roman" w:hAnsi="Times New Roman" w:cs="Times New Roman"/>
                <w:sz w:val="18"/>
                <w:szCs w:val="18"/>
              </w:rPr>
              <w:t>/</w:t>
            </w:r>
            <w:proofErr w:type="spellStart"/>
            <w:r w:rsidRPr="00FB2179">
              <w:rPr>
                <w:rFonts w:ascii="Times New Roman" w:hAnsi="Times New Roman" w:cs="Times New Roman"/>
                <w:sz w:val="18"/>
                <w:szCs w:val="18"/>
              </w:rPr>
              <w:t>ecoinvent</w:t>
            </w:r>
            <w:proofErr w:type="spellEnd"/>
            <w:r w:rsidRPr="00FB2179">
              <w:rPr>
                <w:rFonts w:ascii="Times New Roman" w:hAnsi="Times New Roman" w:cs="Times New Roman"/>
                <w:sz w:val="18"/>
                <w:szCs w:val="18"/>
              </w:rPr>
              <w:t xml:space="preserve"> (50%), GREET (50%)</w:t>
            </w:r>
          </w:p>
        </w:tc>
        <w:tc>
          <w:tcPr>
            <w:tcW w:w="1044" w:type="dxa"/>
            <w:hideMark/>
          </w:tcPr>
          <w:p w14:paraId="34711362" w14:textId="77777777" w:rsidR="003220BA" w:rsidRPr="00FB2179" w:rsidRDefault="003220BA" w:rsidP="003220BA">
            <w:pPr>
              <w:jc w:val="both"/>
              <w:rPr>
                <w:rFonts w:ascii="Times New Roman" w:hAnsi="Times New Roman" w:cs="Times New Roman"/>
                <w:sz w:val="18"/>
                <w:szCs w:val="18"/>
              </w:rPr>
            </w:pPr>
            <w:r w:rsidRPr="00FB2179">
              <w:rPr>
                <w:rFonts w:ascii="Times New Roman" w:hAnsi="Times New Roman" w:cs="Times New Roman"/>
                <w:sz w:val="18"/>
                <w:szCs w:val="18"/>
              </w:rPr>
              <w:t>GREET (38%)</w:t>
            </w:r>
          </w:p>
        </w:tc>
      </w:tr>
    </w:tbl>
    <w:p w14:paraId="0938F9E9" w14:textId="77777777" w:rsidR="003220BA" w:rsidRPr="003220BA" w:rsidRDefault="003220BA" w:rsidP="00B70093">
      <w:pPr>
        <w:spacing w:line="240" w:lineRule="auto"/>
        <w:jc w:val="both"/>
        <w:rPr>
          <w:rFonts w:ascii="Times New Roman" w:hAnsi="Times New Roman" w:cs="Times New Roman"/>
          <w:color w:val="0E2841" w:themeColor="text2"/>
          <w:sz w:val="18"/>
          <w:szCs w:val="18"/>
        </w:rPr>
      </w:pPr>
    </w:p>
    <w:p w14:paraId="0140AD07" w14:textId="2D1B3E7D"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Data extraction and classification</w:t>
      </w:r>
    </w:p>
    <w:p w14:paraId="293AA8E8" w14:textId="77777777"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We developed a standardized extraction template to capture methodological choices and quantitative outcomes. For TEA studies, we extracted system specifications (boundary definitions, feedstock types, conversion technologies, plant capacity), economic parameters (capital and operating cost estimation methods, financing assumptions, co-product handling strategies), and performance metrics (reported MFSP or unit production costs). For LCA studies, we extracted functional units, system boundary definitions, allocation methods for multi-functional processes, data sources and databases for background inventory, impact assessment methods, and reported GHG emissions with and without indirect land use change (ILUC).</w:t>
      </w:r>
    </w:p>
    <w:p w14:paraId="4A6E8B12" w14:textId="51D2AE49"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We classified methodological choices using standardized hierarchies. Functional units were categorized as volumetric (</w:t>
      </w:r>
      <m:oMath>
        <m:r>
          <m:rPr>
            <m:sty m:val="p"/>
          </m:rPr>
          <w:rPr>
            <w:rFonts w:ascii="Cambria Math" w:hAnsi="Cambria Math" w:cs="Times New Roman"/>
          </w:rPr>
          <m:t>/gallon),energy-based(</m:t>
        </m:r>
      </m:oMath>
      <w:r w:rsidRPr="00B70093">
        <w:rPr>
          <w:rFonts w:ascii="Times New Roman" w:hAnsi="Times New Roman" w:cs="Times New Roman"/>
        </w:rPr>
        <w:t xml:space="preserve">/GGE or </w:t>
      </w:r>
      <m:oMath>
        <m:r>
          <m:rPr>
            <m:sty m:val="p"/>
          </m:rPr>
          <w:rPr>
            <w:rFonts w:ascii="Cambria Math" w:hAnsi="Cambria Math" w:cs="Times New Roman"/>
          </w:rPr>
          <m:t>/GJ),ormass-based(</m:t>
        </m:r>
      </m:oMath>
      <w:r w:rsidRPr="00B70093">
        <w:rPr>
          <w:rFonts w:ascii="Times New Roman" w:hAnsi="Times New Roman" w:cs="Times New Roman"/>
        </w:rPr>
        <w:t>/tonne). System boundaries for TEA were classified as gate-to-gate (conversion facility only), well-to-gate (including feedstock production and transportation), well-to-pump (adding fuel distribution), or comprehensive (including infrastructure and end-use). LCA boundaries were categorized as core lifecycle (feedstock production through combustion), with land use change (adding direct and indirect effects), or comprehensive (including capital equipment)</w:t>
      </w:r>
      <w:r w:rsidR="0000586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"/>
          <w:id w:val="285860442"/>
          <w:placeholder>
            <w:docPart w:val="DefaultPlaceholder_-1854013440"/>
          </w:placeholder>
        </w:sdtPr>
        <w:sdtContent>
          <w:r w:rsidR="00C4441E" w:rsidRPr="00C4441E">
            <w:rPr>
              <w:rFonts w:ascii="Times New Roman" w:hAnsi="Times New Roman" w:cs="Times New Roman"/>
              <w:color w:val="000000"/>
            </w:rPr>
            <w:t>[19]</w:t>
          </w:r>
        </w:sdtContent>
      </w:sdt>
      <w:r w:rsidRPr="00B70093">
        <w:rPr>
          <w:rFonts w:ascii="Times New Roman" w:hAnsi="Times New Roman" w:cs="Times New Roman"/>
        </w:rPr>
        <w:t xml:space="preserve">. </w:t>
      </w:r>
    </w:p>
    <w:p w14:paraId="0DDA1F20" w14:textId="77777777"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lastRenderedPageBreak/>
        <w:t>Allocation methods were grouped as mass-based (proportional to product mass), energy-based (proportional to lower heating value), economic (proportional to market value), or system expansion (avoiding allocation through displacement credits). We documented whether studies included ILUC, reported uncertainty quantification, and specified data sources with version numbers. This classification enabled quantitative comparison across diverse literature.</w:t>
      </w:r>
    </w:p>
    <w:p w14:paraId="03E8C7E0"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Computational modeling framework</w:t>
      </w:r>
    </w:p>
    <w:p w14:paraId="1E403434" w14:textId="42D72E0A" w:rsidR="008F3FD9" w:rsidRDefault="000D3692" w:rsidP="00B70093">
      <w:pPr>
        <w:spacing w:line="240" w:lineRule="auto"/>
        <w:jc w:val="both"/>
        <w:rPr>
          <w:rFonts w:ascii="Times New Roman" w:hAnsi="Times New Roman" w:cs="Times New Roman"/>
        </w:rPr>
      </w:pPr>
      <w:r w:rsidRPr="000D3692">
        <w:rPr>
          <w:rFonts w:ascii="Times New Roman" w:hAnsi="Times New Roman" w:cs="Times New Roman"/>
        </w:rPr>
        <w:t xml:space="preserve">We used three publicly verifiable data sources. First, TEA parameters from </w:t>
      </w:r>
      <w:sdt>
        <w:sdtPr>
          <w:rPr>
            <w:rFonts w:ascii="Times New Roman" w:hAnsi="Times New Roman" w:cs="Times New Roman"/>
            <w:color w:val="000000"/>
          </w:rPr>
          <w:tag w:val="MENDELEY_CITATION_v3_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"/>
          <w:id w:val="1725408272"/>
          <w:placeholder>
            <w:docPart w:val="DefaultPlaceholder_-1854013440"/>
          </w:placeholder>
        </w:sdtPr>
        <w:sdtContent>
          <w:r w:rsidR="00C4441E" w:rsidRPr="00C4441E">
            <w:rPr>
              <w:rFonts w:ascii="Times New Roman" w:hAnsi="Times New Roman" w:cs="Times New Roman"/>
              <w:color w:val="000000"/>
            </w:rPr>
            <w:t>[20]</w:t>
          </w:r>
        </w:sdtContent>
      </w:sdt>
      <w:r w:rsidRPr="000D3692">
        <w:rPr>
          <w:rFonts w:ascii="Times New Roman" w:hAnsi="Times New Roman" w:cs="Times New Roman"/>
        </w:rPr>
        <w:t xml:space="preserve"> including plant configuration with 2,000 dry </w:t>
      </w:r>
      <w:proofErr w:type="spellStart"/>
      <w:r w:rsidRPr="000D3692">
        <w:rPr>
          <w:rFonts w:ascii="Times New Roman" w:hAnsi="Times New Roman" w:cs="Times New Roman"/>
        </w:rPr>
        <w:t>tonnes</w:t>
      </w:r>
      <w:proofErr w:type="spellEnd"/>
      <w:r w:rsidRPr="000D3692">
        <w:rPr>
          <w:rFonts w:ascii="Times New Roman" w:hAnsi="Times New Roman" w:cs="Times New Roman"/>
        </w:rPr>
        <w:t xml:space="preserve"> per day feedstock capacity, total capital investment of $420 million (2011 dollars), conversion performance with 79 gallons ethanol per dry </w:t>
      </w:r>
      <w:proofErr w:type="spellStart"/>
      <w:r w:rsidRPr="000D3692">
        <w:rPr>
          <w:rFonts w:ascii="Times New Roman" w:hAnsi="Times New Roman" w:cs="Times New Roman"/>
        </w:rPr>
        <w:t>tonne</w:t>
      </w:r>
      <w:proofErr w:type="spellEnd"/>
      <w:r w:rsidRPr="000D3692">
        <w:rPr>
          <w:rFonts w:ascii="Times New Roman" w:hAnsi="Times New Roman" w:cs="Times New Roman"/>
        </w:rPr>
        <w:t xml:space="preserve"> feedstock and 0.71 gallons jet fuel per gallon ethanol processed, co-product yields of 0.15 gallons diesel and 0.14 gallons gasoline per gallon ethanol, and economic assumptions with 10% discount rate and 30-year plant lifetime. </w:t>
      </w:r>
    </w:p>
    <w:p w14:paraId="2968AE19" w14:textId="71CA9675" w:rsidR="008F3FD9" w:rsidRDefault="000D3692" w:rsidP="00B70093">
      <w:pPr>
        <w:spacing w:line="240" w:lineRule="auto"/>
        <w:jc w:val="both"/>
        <w:rPr>
          <w:rFonts w:ascii="Times New Roman" w:hAnsi="Times New Roman" w:cs="Times New Roman"/>
        </w:rPr>
      </w:pPr>
      <w:r w:rsidRPr="000D3692">
        <w:rPr>
          <w:rFonts w:ascii="Times New Roman" w:hAnsi="Times New Roman" w:cs="Times New Roman"/>
        </w:rPr>
        <w:t xml:space="preserve">Second, LCA data from </w:t>
      </w:r>
      <w:sdt>
        <w:sdtPr>
          <w:rPr>
            <w:rFonts w:ascii="Times New Roman" w:hAnsi="Times New Roman" w:cs="Times New Roman"/>
            <w:color w:val="000000"/>
          </w:rPr>
          <w:tag w:val="MENDELEY_CITATION_v3_eyJjaXRhdGlvbklEIjoiTUVOREVMRVlfQ0lUQVRJT05fZGRlODg1MDMtYzYwZi00ZjliLThiNDctMTJiZmQ3YzgxNGQ3IiwicHJvcGVydGllcyI6eyJub3RlSW5kZXgiOjB9LCJpc0VkaXRlZCI6ZmFsc2UsIm1hbnVhbE92ZXJyaWRlIjp7ImlzTWFudWFsbHlPdmVycmlkZGVuIjpmYWxzZSwiY2l0ZXByb2NUZXh0IjoiWzIxXSIsIm1hbnVhbE92ZXJyaWRlVGV4dCI6IiJ9LCJjaXRhdGlvbkl0ZW1zIjpbeyJpZCI6ImZhODYzNDEyLWJhMDEtMzIxMC1hZjIzLWQxODc3MzM4YjhlYiIsIml0ZW1EYXRhIjp7InR5cGUiOiJhcnRpY2xlLWpvdXJuYWwiLCJpZCI6ImZhODYzNDEyLWJhMDEtMzIxMC1hZjIzLWQxODc3MzM4YjhlY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QmlvZnVlbHMgMjAxNyAxMDoxIiwiYWNjZXNzZWQiOnsiZGF0ZS1wYXJ0cyI6W1syMDI2LDIsM11dfSwiRE9JIjoiMTAuMTE4Ni9zMTMwNjgtMDE3LTA2OTgteiIsIklTU04iOiIxNzU0NjgzNCIsIlBNSUQiOiIyODEzODMzOSIsIlVSTCI6Imh0dHBzOi8vbGluay5zcHJpbmdlci5jb20vYXJ0aWNsZS8xMC4xMTg2L3MxMzA2OC0wMTctMDY5OC16IiwiaXNzdWVkIjp7ImRhdGUtcGFydHMiOltbMjAxNywxLDI0XV19LCJwYWdlIjoiMjEtIiwiYWJzdHJhY3QiOiJ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Jm5ic3A7ZyBDTzJlL01KIHRoYW4gdGhvc2UgZXN0aW1hdGVkIHdpdGggYW4gZW5lcmd5IGFsbG9jYXRpb24gbWV0aG9kL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NZWQgQ2VudHJhbCIsImlzc3VlIjoiMSIsInZvbHVtZSI6IjEwIiwiY29udGFpbmVyLXRpdGxlLXNob3J0IjoiIn0sImlzVGVtcG9yYXJ5IjpmYWxzZSwic3VwcHJlc3MtYXV0aG9yIjpmYWxzZSwiY29tcG9zaXRlIjpmYWxzZSwiYXV0aG9yLW9ubHkiOmZhbHNlfV19"/>
          <w:id w:val="964617378"/>
          <w:placeholder>
            <w:docPart w:val="DefaultPlaceholder_-1854013440"/>
          </w:placeholder>
        </w:sdtPr>
        <w:sdtContent>
          <w:r w:rsidR="00C4441E" w:rsidRPr="00C4441E">
            <w:rPr>
              <w:rFonts w:ascii="Times New Roman" w:hAnsi="Times New Roman" w:cs="Times New Roman"/>
              <w:color w:val="000000"/>
            </w:rPr>
            <w:t>[21]</w:t>
          </w:r>
        </w:sdtContent>
      </w:sdt>
      <w:r w:rsidRPr="000D3692">
        <w:rPr>
          <w:rFonts w:ascii="Times New Roman" w:hAnsi="Times New Roman" w:cs="Times New Roman"/>
        </w:rPr>
        <w:t xml:space="preserve"> providing baseline GHG emissions of 24.0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/MJ for corn stover ethanol-to-jet using energy allocation, quantified impacts of allocation method choices showing 11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/MJ difference between system expansion and energy allocation, and validation against GREET model framework. </w:t>
      </w:r>
    </w:p>
    <w:p w14:paraId="5D83B83C" w14:textId="2B5555A8" w:rsidR="00B70093" w:rsidRPr="00214339" w:rsidRDefault="000D3692" w:rsidP="00B70093">
      <w:pPr>
        <w:spacing w:line="240" w:lineRule="auto"/>
        <w:jc w:val="both"/>
        <w:rPr>
          <w:rFonts w:ascii="Times New Roman" w:hAnsi="Times New Roman" w:cs="Times New Roman"/>
        </w:rPr>
      </w:pPr>
      <w:r w:rsidRPr="000D3692">
        <w:rPr>
          <w:rFonts w:ascii="Times New Roman" w:hAnsi="Times New Roman" w:cs="Times New Roman"/>
        </w:rPr>
        <w:t>Third, background emission factors from GREET 2023</w:t>
      </w:r>
      <w:r w:rsidR="006A5DF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"/>
          <w:id w:val="-1795364419"/>
          <w:placeholder>
            <w:docPart w:val="DefaultPlaceholder_-1854013440"/>
          </w:placeholder>
        </w:sdtPr>
        <w:sdtContent>
          <w:r w:rsidR="00C4441E" w:rsidRPr="00C4441E">
            <w:rPr>
              <w:rFonts w:ascii="Times New Roman" w:hAnsi="Times New Roman" w:cs="Times New Roman"/>
              <w:color w:val="000000"/>
            </w:rPr>
            <w:t>[22]</w:t>
          </w:r>
        </w:sdtContent>
      </w:sdt>
      <w:r w:rsidRPr="000D3692">
        <w:rPr>
          <w:rFonts w:ascii="Times New Roman" w:hAnsi="Times New Roman" w:cs="Times New Roman"/>
        </w:rPr>
        <w:t xml:space="preserve"> including US average grid electricity at 450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/kWh, natural gas supply chain at 11 </w:t>
      </w:r>
      <w:proofErr w:type="spellStart"/>
      <w:r w:rsidRPr="000D3692">
        <w:rPr>
          <w:rFonts w:ascii="Times New Roman" w:hAnsi="Times New Roman" w:cs="Times New Roman"/>
        </w:rPr>
        <w:t>gCO₂e</w:t>
      </w:r>
      <w:proofErr w:type="spellEnd"/>
      <w:r w:rsidRPr="000D3692">
        <w:rPr>
          <w:rFonts w:ascii="Times New Roman" w:hAnsi="Times New Roman" w:cs="Times New Roman"/>
        </w:rPr>
        <w:t xml:space="preserve">/MJ, and petroleum jet fuel lifecycle baseline of 89 </w:t>
      </w:r>
      <w:proofErr w:type="spellStart"/>
      <w:r w:rsidRPr="000D3692">
        <w:rPr>
          <w:rFonts w:ascii="Times New Roman" w:hAnsi="Times New Roman" w:cs="Times New Roman"/>
        </w:rPr>
        <w:t>gCO₂e</w:t>
      </w:r>
      <w:proofErr w:type="spellEnd"/>
      <w:r w:rsidRPr="000D3692">
        <w:rPr>
          <w:rFonts w:ascii="Times New Roman" w:hAnsi="Times New Roman" w:cs="Times New Roman"/>
        </w:rPr>
        <w:t>/MJ established as the CORSIA standard (ICAO, 2021).</w:t>
      </w:r>
      <w:r w:rsidR="006F126C">
        <w:rPr>
          <w:rFonts w:ascii="Times New Roman" w:hAnsi="Times New Roman" w:cs="Times New Roman"/>
        </w:rPr>
        <w:t xml:space="preserve"> </w:t>
      </w:r>
      <w:r w:rsidR="006F126C" w:rsidRPr="006F126C">
        <w:rPr>
          <w:rFonts w:ascii="Times New Roman" w:hAnsi="Times New Roman" w:cs="Times New Roman"/>
        </w:rPr>
        <w:t xml:space="preserve">For TEA, we applied discounted cash flow analysis following NREL methodology </w:t>
      </w:r>
      <w:sdt>
        <w:sdtPr>
          <w:rPr>
            <w:rFonts w:ascii="Times New Roman" w:hAnsi="Times New Roman" w:cs="Times New Roman"/>
            <w:color w:val="000000"/>
          </w:rPr>
          <w:tag w:val="MENDELEY_CITATION_v3_eyJjaXRhdGlvbklEIjoiTUVOREVMRVlfQ0lUQVRJT05fYWE0NWRmMmUtMzA0Yi00ZTIxLWEzMzYtNTFiNDYyMTlhNDEy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
          <w:id w:val="-1675179369"/>
          <w:placeholder>
            <w:docPart w:val="DefaultPlaceholder_-1854013440"/>
          </w:placeholder>
        </w:sdtPr>
        <w:sdtContent>
          <w:r w:rsidR="00C4441E" w:rsidRPr="00C4441E">
            <w:rPr>
              <w:rFonts w:ascii="Times New Roman" w:hAnsi="Times New Roman" w:cs="Times New Roman"/>
              <w:color w:val="000000"/>
            </w:rPr>
            <w:t>[23]</w:t>
          </w:r>
        </w:sdtContent>
      </w:sdt>
      <w:r w:rsidR="006F126C" w:rsidRPr="006F126C">
        <w:rPr>
          <w:rFonts w:ascii="Times New Roman" w:hAnsi="Times New Roman" w:cs="Times New Roman"/>
        </w:rPr>
        <w:t xml:space="preserve"> where the MFSP equals:</w:t>
      </w:r>
    </w:p>
    <w:p w14:paraId="213FC73E" w14:textId="77777777" w:rsidR="00B70093" w:rsidRPr="00214339" w:rsidRDefault="00B70093" w:rsidP="00B70093">
      <w:pPr>
        <w:spacing w:after="0" w:line="240" w:lineRule="auto"/>
        <w:rPr>
          <w:rFonts w:ascii="Times New Roman" w:hAnsi="Times New Roman" w:cs="Times New Roman"/>
        </w:rPr>
      </w:pPr>
      <m:oMathPara>
        <m:oMath>
          <m:r>
            <m:rPr>
              <m:sty m:val="p"/>
            </m:rPr>
            <w:rPr>
              <w:rFonts w:ascii="Cambria Math" w:hAnsi="Cambria Math" w:cs="Times New Roman"/>
            </w:rPr>
            <m:t>MFSP=</m:t>
          </m:r>
          <m:f>
            <m:fPr>
              <m:ctrlPr>
                <w:rPr>
                  <w:rFonts w:ascii="Cambria Math" w:hAnsi="Cambria Math" w:cs="Times New Roman"/>
                </w:rPr>
              </m:ctrlPr>
            </m:fPr>
            <m:num>
              <m:r>
                <w:rPr>
                  <w:rFonts w:ascii="Cambria Math" w:hAnsi="Cambria Math" w:cs="Times New Roman"/>
                </w:rPr>
                <m:t>CR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OPEX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OPEX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cost</m:t>
                  </m:r>
                </m:sub>
              </m:sSub>
            </m:num>
            <m:den>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fuel </m:t>
                  </m:r>
                </m:sub>
              </m:sSub>
            </m:den>
          </m:f>
        </m:oMath>
      </m:oMathPara>
    </w:p>
    <w:p w14:paraId="26CB4927" w14:textId="77777777" w:rsidR="00B70093" w:rsidRPr="00214339" w:rsidRDefault="00B70093" w:rsidP="00B70093">
      <w:pPr>
        <w:spacing w:after="0" w:line="240" w:lineRule="auto"/>
        <w:rPr>
          <w:rFonts w:ascii="Times New Roman" w:hAnsi="Times New Roman" w:cs="Times New Roman"/>
        </w:rPr>
      </w:pPr>
      <w:r w:rsidRPr="00214339">
        <w:rPr>
          <w:rFonts w:ascii="Times New Roman" w:hAnsi="Times New Roman" w:cs="Times New Roman"/>
        </w:rPr>
        <w:t xml:space="preserve">where </w:t>
      </w:r>
      <m:oMath>
        <m:r>
          <w:rPr>
            <w:rFonts w:ascii="Cambria Math" w:hAnsi="Cambria Math" w:cs="Times New Roman"/>
          </w:rPr>
          <m:t>CR</m:t>
        </m:r>
      </m:oMath>
      <w:r w:rsidRPr="00214339">
        <w:rPr>
          <w:rFonts w:ascii="Times New Roman" w:hAnsi="Times New Roman" w:cs="Times New Roman"/>
        </w:rPr>
        <w:t xml:space="preserve"> is capital recovery,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OPEX </m:t>
            </m:r>
          </m:sub>
        </m:sSub>
      </m:oMath>
      <w:r w:rsidRPr="00214339">
        <w:rPr>
          <w:rFonts w:ascii="Times New Roman" w:hAnsi="Times New Roman" w:cs="Times New Roman"/>
        </w:rPr>
        <w:t xml:space="preserve"> is fixed operating expenditure, </w:t>
      </w: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OPEX </m:t>
            </m:r>
          </m:sub>
        </m:sSub>
      </m:oMath>
      <w:r w:rsidRPr="00214339">
        <w:rPr>
          <w:rFonts w:ascii="Times New Roman" w:hAnsi="Times New Roman" w:cs="Times New Roman"/>
        </w:rPr>
        <w:t xml:space="preserve"> is variable operating expenditure, </w:t>
      </w:r>
      <m:oMath>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cost </m:t>
            </m:r>
          </m:sub>
        </m:sSub>
      </m:oMath>
      <w:r w:rsidRPr="00214339">
        <w:rPr>
          <w:rFonts w:ascii="Times New Roman" w:hAnsi="Times New Roman" w:cs="Times New Roman"/>
        </w:rPr>
        <w:t xml:space="preserve"> is feedstock cost, and </w:t>
      </w:r>
      <m:oMath>
        <m:sSub>
          <m:sSubPr>
            <m:ctrlPr>
              <w:rPr>
                <w:rFonts w:ascii="Cambria Math" w:hAnsi="Cambria Math" w:cs="Times New Roman"/>
              </w:rPr>
            </m:ctrlPr>
          </m:sSubPr>
          <m:e>
            <m:r>
              <w:rPr>
                <w:rFonts w:ascii="Cambria Math" w:hAnsi="Cambria Math" w:cs="Times New Roman"/>
              </w:rPr>
              <m:t>Q</m:t>
            </m:r>
          </m:e>
          <m:sub>
            <m:r>
              <m:rPr>
                <m:nor/>
              </m:rPr>
              <w:rPr>
                <w:rFonts w:ascii="Times New Roman" w:hAnsi="Times New Roman" w:cs="Times New Roman"/>
              </w:rPr>
              <m:t>fuel </m:t>
            </m:r>
          </m:sub>
        </m:sSub>
      </m:oMath>
      <w:r w:rsidRPr="00214339">
        <w:rPr>
          <w:rFonts w:ascii="Times New Roman" w:hAnsi="Times New Roman" w:cs="Times New Roman"/>
        </w:rPr>
        <w:t xml:space="preserve"> is annual fuel production. Capital recovery is calculated as:</w:t>
      </w:r>
    </w:p>
    <w:p w14:paraId="5FC21669" w14:textId="77777777" w:rsidR="00B70093" w:rsidRPr="00B70093" w:rsidRDefault="00B70093" w:rsidP="00B70093">
      <w:pPr>
        <w:spacing w:after="0" w:line="240" w:lineRule="auto"/>
        <w:rPr>
          <w:rFonts w:ascii="Times New Roman" w:eastAsiaTheme="minorEastAsia" w:hAnsi="Times New Roman" w:cs="Times New Roman"/>
        </w:rPr>
      </w:pPr>
      <m:oMathPara>
        <m:oMath>
          <m:r>
            <w:rPr>
              <w:rFonts w:ascii="Cambria Math" w:hAnsi="Cambria Math" w:cs="Times New Roman"/>
            </w:rPr>
            <m:t>CR</m:t>
          </m:r>
          <m:r>
            <m:rPr>
              <m:sty m:val="p"/>
            </m:rPr>
            <w:rPr>
              <w:rFonts w:ascii="Cambria Math" w:hAnsi="Cambria Math" w:cs="Times New Roman"/>
            </w:rPr>
            <m:t>=TCI×CRF</m:t>
          </m:r>
        </m:oMath>
      </m:oMathPara>
    </w:p>
    <w:p w14:paraId="6908E573" w14:textId="77777777" w:rsidR="00B70093" w:rsidRPr="00214339" w:rsidRDefault="00B70093" w:rsidP="00B70093">
      <w:pPr>
        <w:spacing w:after="0" w:line="240" w:lineRule="auto"/>
        <w:rPr>
          <w:rFonts w:ascii="Times New Roman" w:hAnsi="Times New Roman" w:cs="Times New Roman"/>
        </w:rPr>
      </w:pPr>
    </w:p>
    <w:p w14:paraId="33E2B1A8" w14:textId="77777777" w:rsidR="00B70093" w:rsidRDefault="00B70093" w:rsidP="00B70093">
      <w:pPr>
        <w:spacing w:after="0" w:line="240" w:lineRule="auto"/>
        <w:rPr>
          <w:rFonts w:ascii="Times New Roman" w:hAnsi="Times New Roman" w:cs="Times New Roman"/>
        </w:rPr>
      </w:pPr>
      <w:r w:rsidRPr="00214339">
        <w:rPr>
          <w:rFonts w:ascii="Times New Roman" w:hAnsi="Times New Roman" w:cs="Times New Roman"/>
        </w:rPr>
        <w:t>where TCI is total capital investment and CRF is the capital recovery factor:</w:t>
      </w:r>
    </w:p>
    <w:p w14:paraId="2B2AE1B3" w14:textId="77777777" w:rsidR="00B70093" w:rsidRPr="00214339" w:rsidRDefault="00B70093" w:rsidP="00B70093">
      <w:pPr>
        <w:spacing w:after="0" w:line="240" w:lineRule="auto"/>
        <w:rPr>
          <w:rFonts w:ascii="Times New Roman" w:hAnsi="Times New Roman" w:cs="Times New Roman"/>
        </w:rPr>
      </w:pPr>
    </w:p>
    <w:p w14:paraId="1AC64902" w14:textId="77777777" w:rsidR="00B70093" w:rsidRPr="00214339" w:rsidRDefault="00B70093" w:rsidP="00B70093">
      <w:pPr>
        <w:spacing w:after="0" w:line="240" w:lineRule="auto"/>
        <w:rPr>
          <w:rFonts w:ascii="Times New Roman" w:hAnsi="Times New Roman" w:cs="Times New Roman"/>
        </w:rPr>
      </w:pPr>
      <m:oMathPara>
        <m:oMath>
          <m:r>
            <m:rPr>
              <m:sty m:val="p"/>
            </m:rPr>
            <w:rPr>
              <w:rFonts w:ascii="Cambria Math" w:hAnsi="Cambria Math" w:cs="Times New Roman"/>
            </w:rPr>
            <m:t>CRF=</m:t>
          </m:r>
          <m:f>
            <m:fPr>
              <m:ctrlPr>
                <w:rPr>
                  <w:rFonts w:ascii="Cambria Math" w:hAnsi="Cambria Math" w:cs="Times New Roman"/>
                </w:rPr>
              </m:ctrlPr>
            </m:fPr>
            <m:num>
              <m:r>
                <w:rPr>
                  <w:rFonts w:ascii="Cambria Math" w:hAnsi="Cambria Math" w:cs="Times New Roman"/>
                </w:rPr>
                <m:t>r</m:t>
              </m:r>
              <m:r>
                <m:rPr>
                  <m:sty m:val="p"/>
                </m:rPr>
                <w:rPr>
                  <w:rFonts w:ascii="Cambria Math" w:hAnsi="Cambria Math" w:cs="Times New Roman"/>
                </w:rPr>
                <m:t>(1+</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num>
            <m:den>
              <m:r>
                <m:rPr>
                  <m:sty m:val="p"/>
                </m:rPr>
                <w:rPr>
                  <w:rFonts w:ascii="Cambria Math" w:hAnsi="Cambria Math" w:cs="Times New Roman"/>
                </w:rPr>
                <m:t>(1+</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n</m:t>
                  </m:r>
                </m:sup>
              </m:sSup>
              <m:r>
                <m:rPr>
                  <m:sty m:val="p"/>
                </m:rPr>
                <w:rPr>
                  <w:rFonts w:ascii="Cambria Math" w:hAnsi="Cambria Math" w:cs="Times New Roman"/>
                </w:rPr>
                <m:t>-1</m:t>
              </m:r>
            </m:den>
          </m:f>
        </m:oMath>
      </m:oMathPara>
    </w:p>
    <w:p w14:paraId="43EB9670" w14:textId="65C2DB9C" w:rsidR="00B70093" w:rsidRDefault="00B70093" w:rsidP="00B70093">
      <w:pPr>
        <w:spacing w:after="0" w:line="240" w:lineRule="auto"/>
        <w:rPr>
          <w:rFonts w:ascii="Times New Roman" w:hAnsi="Times New Roman" w:cs="Times New Roman"/>
        </w:rPr>
      </w:pPr>
      <w:r w:rsidRPr="00214339">
        <w:rPr>
          <w:rFonts w:ascii="Times New Roman" w:hAnsi="Times New Roman" w:cs="Times New Roman"/>
        </w:rPr>
        <w:t xml:space="preserve">with </w:t>
      </w:r>
      <m:oMath>
        <m:r>
          <w:rPr>
            <w:rFonts w:ascii="Cambria Math" w:hAnsi="Cambria Math" w:cs="Times New Roman"/>
          </w:rPr>
          <m:t>r</m:t>
        </m:r>
      </m:oMath>
      <w:r w:rsidRPr="00214339">
        <w:rPr>
          <w:rFonts w:ascii="Times New Roman" w:hAnsi="Times New Roman" w:cs="Times New Roman"/>
        </w:rPr>
        <w:t xml:space="preserve"> as the discount rate and </w:t>
      </w:r>
      <m:oMath>
        <m:r>
          <w:rPr>
            <w:rFonts w:ascii="Cambria Math" w:hAnsi="Cambria Math" w:cs="Times New Roman"/>
          </w:rPr>
          <m:t>n</m:t>
        </m:r>
      </m:oMath>
      <w:r w:rsidRPr="00214339">
        <w:rPr>
          <w:rFonts w:ascii="Times New Roman" w:hAnsi="Times New Roman" w:cs="Times New Roman"/>
        </w:rPr>
        <w:t xml:space="preserve"> as plant lifetime in years.</w:t>
      </w:r>
      <w:r>
        <w:rPr>
          <w:rFonts w:ascii="Times New Roman" w:hAnsi="Times New Roman" w:cs="Times New Roman"/>
        </w:rPr>
        <w:t xml:space="preserve"> </w:t>
      </w:r>
      <w:r w:rsidR="00496C21" w:rsidRPr="00496C21">
        <w:rPr>
          <w:rFonts w:ascii="Times New Roman" w:hAnsi="Times New Roman" w:cs="Times New Roman"/>
        </w:rPr>
        <w:t>For LCA, we followed the GREET methodology</w:t>
      </w:r>
      <w:r w:rsidR="00211EF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91IiwiZ2l2ZW4iOiJMb25nd2Vu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"/>
          <w:id w:val="1408121271"/>
          <w:placeholder>
            <w:docPart w:val="DefaultPlaceholder_-1854013440"/>
          </w:placeholder>
        </w:sdtPr>
        <w:sdtContent>
          <w:r w:rsidR="00C4441E" w:rsidRPr="00C4441E">
            <w:rPr>
              <w:rFonts w:ascii="Times New Roman" w:hAnsi="Times New Roman" w:cs="Times New Roman"/>
              <w:color w:val="000000"/>
            </w:rPr>
            <w:t>[24]</w:t>
          </w:r>
        </w:sdtContent>
      </w:sdt>
      <w:r w:rsidR="00496C21" w:rsidRPr="00496C21">
        <w:rPr>
          <w:rFonts w:ascii="Times New Roman" w:hAnsi="Times New Roman" w:cs="Times New Roman"/>
        </w:rPr>
        <w:t xml:space="preserve"> where total GHG emissions equal:</w:t>
      </w:r>
    </w:p>
    <w:p w14:paraId="17FF0A05" w14:textId="77777777" w:rsidR="00B70093" w:rsidRPr="00214339" w:rsidRDefault="00B70093" w:rsidP="00B70093">
      <w:pPr>
        <w:spacing w:after="0" w:line="240" w:lineRule="auto"/>
        <w:rPr>
          <w:rFonts w:ascii="Times New Roman" w:hAnsi="Times New Roman" w:cs="Times New Roman"/>
        </w:rPr>
      </w:pPr>
    </w:p>
    <w:p w14:paraId="3FF70FD1" w14:textId="749D22A0" w:rsidR="00B70093" w:rsidRPr="00B70093" w:rsidRDefault="00000000" w:rsidP="00B70093">
      <w:pPr>
        <w:spacing w:after="0" w:line="240" w:lineRule="auto"/>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GHG</m:t>
              </m:r>
            </m:e>
            <m:sub>
              <m:r>
                <m:rPr>
                  <m:nor/>
                </m:rPr>
                <w:rPr>
                  <w:rFonts w:ascii="Times New Roman" w:hAnsi="Times New Roman" w:cs="Times New Roman"/>
                </w:rPr>
                <m:t>total </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feedstock </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conversion </m:t>
                  </m:r>
                </m:sub>
              </m:sSub>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ILUC</m:t>
              </m:r>
            </m:sub>
          </m:sSub>
        </m:oMath>
      </m:oMathPara>
    </w:p>
    <w:p w14:paraId="530A77B7" w14:textId="77777777" w:rsidR="00B70093" w:rsidRPr="00214339" w:rsidRDefault="00B70093" w:rsidP="00B70093">
      <w:pPr>
        <w:spacing w:after="0" w:line="240" w:lineRule="auto"/>
        <w:rPr>
          <w:rFonts w:ascii="Times New Roman" w:hAnsi="Times New Roman" w:cs="Times New Roman"/>
        </w:rPr>
      </w:pPr>
    </w:p>
    <w:p w14:paraId="452BAC45" w14:textId="1DAFE14F" w:rsidR="00B70093" w:rsidRDefault="00B70093" w:rsidP="002B1A96">
      <w:pPr>
        <w:spacing w:after="0" w:line="240" w:lineRule="auto"/>
        <w:rPr>
          <w:rFonts w:ascii="Times New Roman" w:hAnsi="Times New Roman" w:cs="Times New Roman"/>
        </w:rPr>
      </w:pPr>
      <w:r w:rsidRPr="00214339">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feedstock </m:t>
            </m:r>
          </m:sub>
        </m:sSub>
      </m:oMath>
      <w:r w:rsidRPr="00214339">
        <w:rPr>
          <w:rFonts w:ascii="Times New Roman" w:hAnsi="Times New Roman" w:cs="Times New Roman"/>
        </w:rPr>
        <w:t xml:space="preserve"> is feedstock production emissions,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conversion </m:t>
            </m:r>
          </m:sub>
        </m:sSub>
      </m:oMath>
      <w:r w:rsidRPr="00214339">
        <w:rPr>
          <w:rFonts w:ascii="Times New Roman" w:hAnsi="Times New Roman" w:cs="Times New Roman"/>
        </w:rPr>
        <w:t xml:space="preserve"> is conversion process emissions, </w:t>
      </w:r>
      <m:oMath>
        <m:r>
          <w:rPr>
            <w:rFonts w:ascii="Cambria Math" w:hAnsi="Cambria Math" w:cs="Times New Roman"/>
          </w:rPr>
          <m:t>α</m:t>
        </m:r>
      </m:oMath>
      <w:r w:rsidRPr="00214339">
        <w:rPr>
          <w:rFonts w:ascii="Times New Roman" w:hAnsi="Times New Roman" w:cs="Times New Roman"/>
        </w:rPr>
        <w:t xml:space="preserve"> is the allocation factor, </w:t>
      </w:r>
      <w:r w:rsidRPr="00B70093">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E</m:t>
            </m:r>
          </m:e>
          <m:sub>
            <m:r>
              <m:rPr>
                <m:nor/>
              </m:rPr>
              <w:rPr>
                <w:rFonts w:ascii="Times New Roman" w:hAnsi="Times New Roman" w:cs="Times New Roman"/>
              </w:rPr>
              <m:t>ILUC </m:t>
            </m:r>
          </m:sub>
        </m:sSub>
      </m:oMath>
      <w:r w:rsidRPr="00B70093">
        <w:rPr>
          <w:rFonts w:ascii="Times New Roman" w:hAnsi="Times New Roman" w:cs="Times New Roman"/>
        </w:rPr>
        <w:t xml:space="preserve"> is ILUC emissions. The allocation factor varies from 0.60 for system expansion to 0.75 for mass allocation, with energy-based allocation using 0.71 based on jet fuel energy content relative to total fuel products.</w:t>
      </w:r>
    </w:p>
    <w:p w14:paraId="1EA89B48" w14:textId="77777777" w:rsidR="002B1A96" w:rsidRPr="002B1A96" w:rsidRDefault="002B1A96" w:rsidP="002B1A96">
      <w:pPr>
        <w:spacing w:after="0" w:line="240" w:lineRule="auto"/>
        <w:rPr>
          <w:rFonts w:ascii="Times New Roman" w:hAnsi="Times New Roman" w:cs="Times New Roman"/>
        </w:rPr>
      </w:pPr>
    </w:p>
    <w:p w14:paraId="56E02084" w14:textId="15F077AC"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Scenario design and analysis</w:t>
      </w:r>
    </w:p>
    <w:p w14:paraId="6F4C5F63" w14:textId="77777777"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lastRenderedPageBreak/>
        <w:t>We designed 14 scenarios to systematically isolate individual methodological impacts. Each scenario varies one parameter from baseline while holding others constant. The baseline scenario employs well-to-gate system boundary, energy-based allocation, 10% discount rate, $80/</w:t>
      </w:r>
      <w:proofErr w:type="spellStart"/>
      <w:r w:rsidRPr="00B70093">
        <w:rPr>
          <w:rFonts w:ascii="Times New Roman" w:hAnsi="Times New Roman" w:cs="Times New Roman"/>
        </w:rPr>
        <w:t>tonne</w:t>
      </w:r>
      <w:proofErr w:type="spellEnd"/>
      <w:r w:rsidRPr="00B70093">
        <w:rPr>
          <w:rFonts w:ascii="Times New Roman" w:hAnsi="Times New Roman" w:cs="Times New Roman"/>
        </w:rPr>
        <w:t xml:space="preserve"> feedstock cost, and 90% capacity factor representing typical continuous biomass conversion operations.</w:t>
      </w:r>
    </w:p>
    <w:p w14:paraId="39617726" w14:textId="12CFBB80" w:rsid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Scenarios 1-2 test system boundary impacts by excluding feedstock costs (gate-to-gate) and adding distribution infrastructure (well-to-pump). Scenarios 3-5 examine allocation method sensitivity using mass-based, economic value-based, and system expansion approaches. Scenarios 6-7 span the discount rate range from 5% (public sector financing) to 15% (high-risk private investment). Scenarios 8-9 test feedstock cost extremes at $40/</w:t>
      </w:r>
      <w:proofErr w:type="spellStart"/>
      <w:r w:rsidRPr="00B70093">
        <w:rPr>
          <w:rFonts w:ascii="Times New Roman" w:hAnsi="Times New Roman" w:cs="Times New Roman"/>
        </w:rPr>
        <w:t>tonne</w:t>
      </w:r>
      <w:proofErr w:type="spellEnd"/>
      <w:r w:rsidRPr="00B70093">
        <w:rPr>
          <w:rFonts w:ascii="Times New Roman" w:hAnsi="Times New Roman" w:cs="Times New Roman"/>
        </w:rPr>
        <w:t xml:space="preserve"> and $120/</w:t>
      </w:r>
      <w:proofErr w:type="spellStart"/>
      <w:r w:rsidRPr="00B70093">
        <w:rPr>
          <w:rFonts w:ascii="Times New Roman" w:hAnsi="Times New Roman" w:cs="Times New Roman"/>
        </w:rPr>
        <w:t>tonne</w:t>
      </w:r>
      <w:proofErr w:type="spellEnd"/>
      <w:r w:rsidRPr="00B70093">
        <w:rPr>
          <w:rFonts w:ascii="Times New Roman" w:hAnsi="Times New Roman" w:cs="Times New Roman"/>
        </w:rPr>
        <w:t xml:space="preserve"> reflecting geographic and seasonal variability. Scenarios 10-12 investigate ILUC inclusion, renewable electricity substitution, and reduced capacity factor to 80%. Scenarios 13-14 combine multiple pessimistic or optimistic assumptions to bound plausible outcome ranges.</w:t>
      </w:r>
      <w:r w:rsidR="00E909E4">
        <w:rPr>
          <w:rFonts w:ascii="Times New Roman" w:hAnsi="Times New Roman" w:cs="Times New Roman"/>
        </w:rPr>
        <w:t xml:space="preserve"> </w:t>
      </w:r>
      <w:r w:rsidRPr="00B70093">
        <w:rPr>
          <w:rFonts w:ascii="Times New Roman" w:hAnsi="Times New Roman" w:cs="Times New Roman"/>
        </w:rPr>
        <w:t xml:space="preserve">We implemented all calculations in Python 3.9 using NumPy 1.24 and pandas 2.0. Complete code, input parameters, calculation formulas, and scenario definitions are provided in Supplementary Data 1-2. </w:t>
      </w:r>
      <w:r w:rsidR="00F236EB" w:rsidRPr="00F236EB">
        <w:rPr>
          <w:rFonts w:ascii="Times New Roman" w:hAnsi="Times New Roman" w:cs="Times New Roman"/>
        </w:rPr>
        <w:fldChar w:fldCharType="begin"/>
      </w:r>
      <w:r w:rsidR="00F236EB" w:rsidRPr="00F236EB">
        <w:rPr>
          <w:rFonts w:ascii="Times New Roman" w:hAnsi="Times New Roman" w:cs="Times New Roman"/>
        </w:rPr>
        <w:instrText xml:space="preserve"> REF _Ref221139667 \h </w:instrText>
      </w:r>
      <w:r w:rsidR="00F236EB">
        <w:rPr>
          <w:rFonts w:ascii="Times New Roman" w:hAnsi="Times New Roman" w:cs="Times New Roman"/>
        </w:rPr>
        <w:instrText xml:space="preserve"> \* MERGEFORMAT </w:instrText>
      </w:r>
      <w:r w:rsidR="00F236EB" w:rsidRPr="00F236EB">
        <w:rPr>
          <w:rFonts w:ascii="Times New Roman" w:hAnsi="Times New Roman" w:cs="Times New Roman"/>
        </w:rPr>
      </w:r>
      <w:r w:rsidR="00F236EB" w:rsidRPr="00F236EB">
        <w:rPr>
          <w:rFonts w:ascii="Times New Roman" w:hAnsi="Times New Roman" w:cs="Times New Roman"/>
        </w:rPr>
        <w:fldChar w:fldCharType="separate"/>
      </w:r>
      <w:r w:rsidR="00F236EB" w:rsidRPr="00F236EB">
        <w:rPr>
          <w:rFonts w:ascii="Times New Roman" w:hAnsi="Times New Roman" w:cs="Times New Roman"/>
        </w:rPr>
        <w:t xml:space="preserve">Table </w:t>
      </w:r>
      <w:r w:rsidR="00F236EB" w:rsidRPr="00F236EB">
        <w:rPr>
          <w:rFonts w:ascii="Times New Roman" w:hAnsi="Times New Roman" w:cs="Times New Roman"/>
          <w:noProof/>
        </w:rPr>
        <w:t>1</w:t>
      </w:r>
      <w:r w:rsidR="00F236EB" w:rsidRPr="00F236EB">
        <w:rPr>
          <w:rFonts w:ascii="Times New Roman" w:hAnsi="Times New Roman" w:cs="Times New Roman"/>
        </w:rPr>
        <w:fldChar w:fldCharType="end"/>
      </w:r>
      <w:r w:rsidRPr="00B70093">
        <w:rPr>
          <w:rFonts w:ascii="Times New Roman" w:hAnsi="Times New Roman" w:cs="Times New Roman"/>
        </w:rPr>
        <w:t xml:space="preserve"> documents baseline parameters and tested ranges with source references.</w:t>
      </w:r>
    </w:p>
    <w:p w14:paraId="34473481" w14:textId="42D680BE" w:rsidR="00B70093" w:rsidRPr="006D7C47" w:rsidRDefault="00B70093" w:rsidP="00B70093">
      <w:pPr>
        <w:pStyle w:val="Caption"/>
        <w:keepNext/>
        <w:rPr>
          <w:rFonts w:ascii="Times New Roman" w:hAnsi="Times New Roman" w:cs="Times New Roman"/>
        </w:rPr>
      </w:pPr>
      <w:bookmarkStart w:id="2" w:name="_Ref221139667"/>
      <w:r w:rsidRPr="006D7C47">
        <w:rPr>
          <w:rFonts w:ascii="Times New Roman" w:hAnsi="Times New Roman" w:cs="Times New Roman"/>
        </w:rPr>
        <w:t xml:space="preserve">Table </w:t>
      </w:r>
      <w:r w:rsidRPr="006D7C47">
        <w:rPr>
          <w:rFonts w:ascii="Times New Roman" w:hAnsi="Times New Roman" w:cs="Times New Roman"/>
        </w:rPr>
        <w:fldChar w:fldCharType="begin"/>
      </w:r>
      <w:r w:rsidRPr="006D7C47">
        <w:rPr>
          <w:rFonts w:ascii="Times New Roman" w:hAnsi="Times New Roman" w:cs="Times New Roman"/>
        </w:rPr>
        <w:instrText xml:space="preserve"> SEQ Table \* ARABIC </w:instrText>
      </w:r>
      <w:r w:rsidRPr="006D7C47">
        <w:rPr>
          <w:rFonts w:ascii="Times New Roman" w:hAnsi="Times New Roman" w:cs="Times New Roman"/>
        </w:rPr>
        <w:fldChar w:fldCharType="separate"/>
      </w:r>
      <w:r w:rsidR="00D008F1">
        <w:rPr>
          <w:rFonts w:ascii="Times New Roman" w:hAnsi="Times New Roman" w:cs="Times New Roman"/>
          <w:noProof/>
        </w:rPr>
        <w:t>2</w:t>
      </w:r>
      <w:r w:rsidRPr="006D7C47">
        <w:rPr>
          <w:rFonts w:ascii="Times New Roman" w:hAnsi="Times New Roman" w:cs="Times New Roman"/>
        </w:rPr>
        <w:fldChar w:fldCharType="end"/>
      </w:r>
      <w:bookmarkEnd w:id="2"/>
      <w:r w:rsidRPr="006D7C47">
        <w:rPr>
          <w:rFonts w:ascii="Times New Roman" w:hAnsi="Times New Roman" w:cs="Times New Roman"/>
        </w:rPr>
        <w:t>. Baseline parameters and scenario variations for computational modeling of the corn stover alcohol-to-jet pathway</w:t>
      </w:r>
    </w:p>
    <w:tbl>
      <w:tblPr>
        <w:tblStyle w:val="TableGrid"/>
        <w:tblW w:w="0" w:type="auto"/>
        <w:tblLook w:val="04A0" w:firstRow="1" w:lastRow="0" w:firstColumn="1" w:lastColumn="0" w:noHBand="0" w:noVBand="1"/>
      </w:tblPr>
      <w:tblGrid>
        <w:gridCol w:w="2065"/>
        <w:gridCol w:w="2997"/>
        <w:gridCol w:w="1427"/>
        <w:gridCol w:w="1176"/>
        <w:gridCol w:w="1685"/>
      </w:tblGrid>
      <w:tr w:rsidR="00B70093" w:rsidRPr="006D7C47" w14:paraId="6F2A9E37" w14:textId="77777777" w:rsidTr="00CE630E">
        <w:tc>
          <w:tcPr>
            <w:tcW w:w="2065" w:type="dxa"/>
            <w:hideMark/>
          </w:tcPr>
          <w:p w14:paraId="2AB6170D"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Category</w:t>
            </w:r>
          </w:p>
        </w:tc>
        <w:tc>
          <w:tcPr>
            <w:tcW w:w="2997" w:type="dxa"/>
            <w:hideMark/>
          </w:tcPr>
          <w:p w14:paraId="269F0D90"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Parameter</w:t>
            </w:r>
          </w:p>
        </w:tc>
        <w:tc>
          <w:tcPr>
            <w:tcW w:w="0" w:type="auto"/>
            <w:hideMark/>
          </w:tcPr>
          <w:p w14:paraId="3ED81DDC"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Baseline Value</w:t>
            </w:r>
          </w:p>
        </w:tc>
        <w:tc>
          <w:tcPr>
            <w:tcW w:w="0" w:type="auto"/>
            <w:hideMark/>
          </w:tcPr>
          <w:p w14:paraId="03FE64E1"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Range Tested</w:t>
            </w:r>
          </w:p>
        </w:tc>
        <w:tc>
          <w:tcPr>
            <w:tcW w:w="0" w:type="auto"/>
            <w:hideMark/>
          </w:tcPr>
          <w:p w14:paraId="5170CB0D" w14:textId="77777777" w:rsidR="00B70093" w:rsidRPr="006D7C47" w:rsidRDefault="00B70093" w:rsidP="000A6D07">
            <w:pPr>
              <w:jc w:val="both"/>
              <w:rPr>
                <w:rFonts w:ascii="Times New Roman" w:hAnsi="Times New Roman" w:cs="Times New Roman"/>
                <w:b/>
                <w:bCs/>
                <w:sz w:val="18"/>
                <w:szCs w:val="18"/>
              </w:rPr>
            </w:pPr>
            <w:r w:rsidRPr="006D7C47">
              <w:rPr>
                <w:rFonts w:ascii="Times New Roman" w:hAnsi="Times New Roman" w:cs="Times New Roman"/>
                <w:b/>
                <w:bCs/>
                <w:sz w:val="18"/>
                <w:szCs w:val="18"/>
              </w:rPr>
              <w:t>Source</w:t>
            </w:r>
          </w:p>
        </w:tc>
      </w:tr>
      <w:tr w:rsidR="00B70093" w:rsidRPr="006D7C47" w14:paraId="17FF6724" w14:textId="77777777" w:rsidTr="00CE630E">
        <w:tc>
          <w:tcPr>
            <w:tcW w:w="2065" w:type="dxa"/>
            <w:hideMark/>
          </w:tcPr>
          <w:p w14:paraId="5104A4C8"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Plant Configuration</w:t>
            </w:r>
          </w:p>
        </w:tc>
        <w:tc>
          <w:tcPr>
            <w:tcW w:w="2997" w:type="dxa"/>
            <w:hideMark/>
          </w:tcPr>
          <w:p w14:paraId="3A326FC9"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Feedstock input</w:t>
            </w:r>
          </w:p>
        </w:tc>
        <w:tc>
          <w:tcPr>
            <w:tcW w:w="0" w:type="auto"/>
            <w:hideMark/>
          </w:tcPr>
          <w:p w14:paraId="3BF757C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2000 </w:t>
            </w:r>
            <w:proofErr w:type="spellStart"/>
            <w:r w:rsidRPr="006D7C47">
              <w:rPr>
                <w:rFonts w:ascii="Times New Roman" w:hAnsi="Times New Roman" w:cs="Times New Roman"/>
                <w:sz w:val="18"/>
                <w:szCs w:val="18"/>
              </w:rPr>
              <w:t>tpd</w:t>
            </w:r>
            <w:proofErr w:type="spellEnd"/>
          </w:p>
        </w:tc>
        <w:tc>
          <w:tcPr>
            <w:tcW w:w="0" w:type="auto"/>
            <w:hideMark/>
          </w:tcPr>
          <w:p w14:paraId="1AEF140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ZmFhNDUyMzctNmY2OC00ZWQ0LWFjNDctNDdmYmYzYmZkZDA1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20767944"/>
            <w:placeholder>
              <w:docPart w:val="DefaultPlaceholder_-1854013440"/>
            </w:placeholder>
          </w:sdtPr>
          <w:sdtContent>
            <w:tc>
              <w:tcPr>
                <w:tcW w:w="0" w:type="auto"/>
                <w:hideMark/>
              </w:tcPr>
              <w:p w14:paraId="60E04D39" w14:textId="341E1678"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33E0FEB0" w14:textId="77777777" w:rsidTr="00CE630E">
        <w:tc>
          <w:tcPr>
            <w:tcW w:w="2065" w:type="dxa"/>
            <w:hideMark/>
          </w:tcPr>
          <w:p w14:paraId="3C2484FA"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600E4DCD"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Capacity factor</w:t>
            </w:r>
          </w:p>
        </w:tc>
        <w:tc>
          <w:tcPr>
            <w:tcW w:w="0" w:type="auto"/>
            <w:hideMark/>
          </w:tcPr>
          <w:p w14:paraId="1FCB894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90%</w:t>
            </w:r>
          </w:p>
        </w:tc>
        <w:tc>
          <w:tcPr>
            <w:tcW w:w="0" w:type="auto"/>
            <w:hideMark/>
          </w:tcPr>
          <w:p w14:paraId="5E5EB13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80-96%</w:t>
            </w:r>
          </w:p>
        </w:tc>
        <w:sdt>
          <w:sdtPr>
            <w:rPr>
              <w:rFonts w:ascii="Times New Roman" w:hAnsi="Times New Roman" w:cs="Times New Roman"/>
              <w:color w:val="000000"/>
              <w:sz w:val="18"/>
              <w:szCs w:val="18"/>
            </w:rPr>
            <w:tag w:val="MENDELEY_CITATION_v3_eyJjaXRhdGlvbklEIjoiTUVOREVMRVlfQ0lUQVRJT05fZjU5MmEzMDYtMDdmMC00YWE3LWEyNDctMzc3ZDE3ZjcxZjY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666785350"/>
            <w:placeholder>
              <w:docPart w:val="0E45155391926D4980EB8D2B015B707E"/>
            </w:placeholder>
          </w:sdtPr>
          <w:sdtContent>
            <w:tc>
              <w:tcPr>
                <w:tcW w:w="0" w:type="auto"/>
                <w:hideMark/>
              </w:tcPr>
              <w:p w14:paraId="71C1D3A3" w14:textId="338C3B44"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57E08CCF" w14:textId="77777777" w:rsidTr="00CE630E">
        <w:tc>
          <w:tcPr>
            <w:tcW w:w="2065" w:type="dxa"/>
            <w:hideMark/>
          </w:tcPr>
          <w:p w14:paraId="5997841F"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24B47F77"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Plant lifetime</w:t>
            </w:r>
          </w:p>
        </w:tc>
        <w:tc>
          <w:tcPr>
            <w:tcW w:w="0" w:type="auto"/>
            <w:hideMark/>
          </w:tcPr>
          <w:p w14:paraId="3B8AC8C7"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30 years</w:t>
            </w:r>
          </w:p>
        </w:tc>
        <w:tc>
          <w:tcPr>
            <w:tcW w:w="0" w:type="auto"/>
            <w:hideMark/>
          </w:tcPr>
          <w:p w14:paraId="56455E3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YjY0ZGM5M2MtZjMzZi00OWMzLTg5Y2ItZTYxNjIzODM0Y2N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707555353"/>
            <w:placeholder>
              <w:docPart w:val="E38FFB0800759C47ACC8EB14BE6A22E8"/>
            </w:placeholder>
          </w:sdtPr>
          <w:sdtContent>
            <w:tc>
              <w:tcPr>
                <w:tcW w:w="0" w:type="auto"/>
                <w:hideMark/>
              </w:tcPr>
              <w:p w14:paraId="3E3D7C91" w14:textId="024F6ECB"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5708C83" w14:textId="77777777" w:rsidTr="00CE630E">
        <w:tc>
          <w:tcPr>
            <w:tcW w:w="2065" w:type="dxa"/>
            <w:hideMark/>
          </w:tcPr>
          <w:p w14:paraId="5C86BBA3"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Economic Parameters</w:t>
            </w:r>
          </w:p>
        </w:tc>
        <w:tc>
          <w:tcPr>
            <w:tcW w:w="2997" w:type="dxa"/>
            <w:hideMark/>
          </w:tcPr>
          <w:p w14:paraId="37D93F4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Discount rate</w:t>
            </w:r>
          </w:p>
        </w:tc>
        <w:tc>
          <w:tcPr>
            <w:tcW w:w="0" w:type="auto"/>
            <w:hideMark/>
          </w:tcPr>
          <w:p w14:paraId="245D18D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10%</w:t>
            </w:r>
          </w:p>
        </w:tc>
        <w:tc>
          <w:tcPr>
            <w:tcW w:w="0" w:type="auto"/>
            <w:hideMark/>
          </w:tcPr>
          <w:p w14:paraId="228F346B"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5-15%</w:t>
            </w:r>
          </w:p>
        </w:tc>
        <w:sdt>
          <w:sdtPr>
            <w:rPr>
              <w:rFonts w:ascii="Times New Roman" w:hAnsi="Times New Roman" w:cs="Times New Roman"/>
              <w:color w:val="000000"/>
              <w:sz w:val="18"/>
              <w:szCs w:val="18"/>
            </w:rPr>
            <w:tag w:val="MENDELEY_CITATION_v3_eyJjaXRhdGlvbklEIjoiTUVOREVMRVlfQ0lUQVRJT05fMThlZTlhNTUtOTdiZS00MzU3LWFiZDQtOTI1OGE2NTZjMjQ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634096695"/>
            <w:placeholder>
              <w:docPart w:val="0CE76774345D724CB56EAC28B9BF7447"/>
            </w:placeholder>
          </w:sdtPr>
          <w:sdtContent>
            <w:tc>
              <w:tcPr>
                <w:tcW w:w="0" w:type="auto"/>
                <w:hideMark/>
              </w:tcPr>
              <w:p w14:paraId="6ADAC2D0" w14:textId="212FED0F"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2187409" w14:textId="77777777" w:rsidTr="00CE630E">
        <w:tc>
          <w:tcPr>
            <w:tcW w:w="2065" w:type="dxa"/>
            <w:hideMark/>
          </w:tcPr>
          <w:p w14:paraId="29CB6D9C"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7C38C259"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Feedstock cost</w:t>
            </w:r>
          </w:p>
        </w:tc>
        <w:tc>
          <w:tcPr>
            <w:tcW w:w="0" w:type="auto"/>
            <w:hideMark/>
          </w:tcPr>
          <w:p w14:paraId="2884D7E1"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$80 / </w:t>
            </w:r>
            <w:proofErr w:type="spellStart"/>
            <w:r w:rsidRPr="006D7C47">
              <w:rPr>
                <w:rFonts w:ascii="Times New Roman" w:hAnsi="Times New Roman" w:cs="Times New Roman"/>
                <w:sz w:val="18"/>
                <w:szCs w:val="18"/>
              </w:rPr>
              <w:t>tonne</w:t>
            </w:r>
            <w:proofErr w:type="spellEnd"/>
          </w:p>
        </w:tc>
        <w:tc>
          <w:tcPr>
            <w:tcW w:w="0" w:type="auto"/>
            <w:hideMark/>
          </w:tcPr>
          <w:p w14:paraId="0B5A9CD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$40-120</w:t>
            </w:r>
          </w:p>
        </w:tc>
        <w:sdt>
          <w:sdtPr>
            <w:rPr>
              <w:rFonts w:ascii="Times New Roman" w:hAnsi="Times New Roman" w:cs="Times New Roman"/>
              <w:color w:val="000000"/>
              <w:sz w:val="18"/>
              <w:szCs w:val="18"/>
            </w:rPr>
            <w:tag w:val="MENDELEY_CITATION_v3_eyJjaXRhdGlvbklEIjoiTUVOREVMRVlfQ0lUQVRJT05fMDBhMjMxZGQtNDI3Zi00ZjAwLTkwZWMtNTE1M2RkZTcwNjZh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485203360"/>
            <w:placeholder>
              <w:docPart w:val="C8430450D6BE1048A14FD5F8E7E5A361"/>
            </w:placeholder>
          </w:sdtPr>
          <w:sdtContent>
            <w:tc>
              <w:tcPr>
                <w:tcW w:w="0" w:type="auto"/>
                <w:hideMark/>
              </w:tcPr>
              <w:p w14:paraId="2E3FD699" w14:textId="775A2E47"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02F08BD5" w14:textId="77777777" w:rsidTr="00CE630E">
        <w:tc>
          <w:tcPr>
            <w:tcW w:w="2065" w:type="dxa"/>
            <w:hideMark/>
          </w:tcPr>
          <w:p w14:paraId="5F286FE9"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2D5A140A"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Total capital cost</w:t>
            </w:r>
          </w:p>
        </w:tc>
        <w:tc>
          <w:tcPr>
            <w:tcW w:w="0" w:type="auto"/>
            <w:hideMark/>
          </w:tcPr>
          <w:p w14:paraId="73BF87A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$420 million</w:t>
            </w:r>
          </w:p>
        </w:tc>
        <w:tc>
          <w:tcPr>
            <w:tcW w:w="0" w:type="auto"/>
            <w:hideMark/>
          </w:tcPr>
          <w:p w14:paraId="15C48244"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OWE0OGY1MjktMjFmMC00ODIzLTg1YmItMzQ4YjYyNmJjM2M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822725016"/>
            <w:placeholder>
              <w:docPart w:val="331F9B3BA9771F4EB73EA900302F8FE8"/>
            </w:placeholder>
          </w:sdtPr>
          <w:sdtContent>
            <w:tc>
              <w:tcPr>
                <w:tcW w:w="0" w:type="auto"/>
                <w:hideMark/>
              </w:tcPr>
              <w:p w14:paraId="2EC627C5" w14:textId="29735DBA"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44DB7D96" w14:textId="77777777" w:rsidTr="00CE630E">
        <w:tc>
          <w:tcPr>
            <w:tcW w:w="2065" w:type="dxa"/>
            <w:hideMark/>
          </w:tcPr>
          <w:p w14:paraId="613126FF"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35B1DC7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Fixed operating expenditure</w:t>
            </w:r>
          </w:p>
        </w:tc>
        <w:tc>
          <w:tcPr>
            <w:tcW w:w="0" w:type="auto"/>
            <w:hideMark/>
          </w:tcPr>
          <w:p w14:paraId="03633A7E"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4% of capital</w:t>
            </w:r>
          </w:p>
        </w:tc>
        <w:tc>
          <w:tcPr>
            <w:tcW w:w="0" w:type="auto"/>
            <w:hideMark/>
          </w:tcPr>
          <w:p w14:paraId="10C799EA"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MzFmM2UxYjQtMTBhYi00ZTYwLWJkOTItNzNkYWVlMGZiYmY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061855720"/>
            <w:placeholder>
              <w:docPart w:val="260D3C6CEC5D7245A04ED62193850289"/>
            </w:placeholder>
          </w:sdtPr>
          <w:sdtContent>
            <w:tc>
              <w:tcPr>
                <w:tcW w:w="0" w:type="auto"/>
                <w:hideMark/>
              </w:tcPr>
              <w:p w14:paraId="54686AF1" w14:textId="4B618E02"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5612BA9" w14:textId="77777777" w:rsidTr="00CE630E">
        <w:tc>
          <w:tcPr>
            <w:tcW w:w="2065" w:type="dxa"/>
            <w:hideMark/>
          </w:tcPr>
          <w:p w14:paraId="336DBBC2"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13C8DA4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Variable operating expenditure</w:t>
            </w:r>
          </w:p>
        </w:tc>
        <w:tc>
          <w:tcPr>
            <w:tcW w:w="0" w:type="auto"/>
            <w:hideMark/>
          </w:tcPr>
          <w:p w14:paraId="1B6A45E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3% of capital</w:t>
            </w:r>
          </w:p>
        </w:tc>
        <w:tc>
          <w:tcPr>
            <w:tcW w:w="0" w:type="auto"/>
            <w:hideMark/>
          </w:tcPr>
          <w:p w14:paraId="5708C20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MTJmY2U4MmMtMTY1NS00MWUyLWEyN2MtNWVmNjA5NjA1ZDg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062553156"/>
            <w:placeholder>
              <w:docPart w:val="90094C471BCAE249AE610224D49B070E"/>
            </w:placeholder>
          </w:sdtPr>
          <w:sdtContent>
            <w:tc>
              <w:tcPr>
                <w:tcW w:w="0" w:type="auto"/>
                <w:hideMark/>
              </w:tcPr>
              <w:p w14:paraId="06076959" w14:textId="4DB5F61C"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1C7F23D9" w14:textId="77777777" w:rsidTr="00CE630E">
        <w:tc>
          <w:tcPr>
            <w:tcW w:w="2065" w:type="dxa"/>
            <w:hideMark/>
          </w:tcPr>
          <w:p w14:paraId="5BD4D24D"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Conversion Performance</w:t>
            </w:r>
          </w:p>
        </w:tc>
        <w:tc>
          <w:tcPr>
            <w:tcW w:w="2997" w:type="dxa"/>
            <w:hideMark/>
          </w:tcPr>
          <w:p w14:paraId="0E94C0FF"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Ethanol yield</w:t>
            </w:r>
          </w:p>
        </w:tc>
        <w:tc>
          <w:tcPr>
            <w:tcW w:w="0" w:type="auto"/>
            <w:hideMark/>
          </w:tcPr>
          <w:p w14:paraId="7BBCB52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79 gal / </w:t>
            </w:r>
            <w:proofErr w:type="spellStart"/>
            <w:r w:rsidRPr="006D7C47">
              <w:rPr>
                <w:rFonts w:ascii="Times New Roman" w:hAnsi="Times New Roman" w:cs="Times New Roman"/>
                <w:sz w:val="18"/>
                <w:szCs w:val="18"/>
              </w:rPr>
              <w:t>tonne</w:t>
            </w:r>
            <w:proofErr w:type="spellEnd"/>
          </w:p>
        </w:tc>
        <w:tc>
          <w:tcPr>
            <w:tcW w:w="0" w:type="auto"/>
            <w:hideMark/>
          </w:tcPr>
          <w:p w14:paraId="117D793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ZjViNjYxYzktOGIwMC00MWFmLWIzMTItMDExYTdiZmZjZWUy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597203"/>
            <w:placeholder>
              <w:docPart w:val="5079F1479FEA6540BCC6695C6A71A886"/>
            </w:placeholder>
          </w:sdtPr>
          <w:sdtContent>
            <w:tc>
              <w:tcPr>
                <w:tcW w:w="0" w:type="auto"/>
                <w:hideMark/>
              </w:tcPr>
              <w:p w14:paraId="159F54A6" w14:textId="354BB07F"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5A83B3A5" w14:textId="77777777" w:rsidTr="00CE630E">
        <w:tc>
          <w:tcPr>
            <w:tcW w:w="2065" w:type="dxa"/>
            <w:hideMark/>
          </w:tcPr>
          <w:p w14:paraId="548EF081"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0AAD794E"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Jet fuel from ethanol</w:t>
            </w:r>
          </w:p>
        </w:tc>
        <w:tc>
          <w:tcPr>
            <w:tcW w:w="0" w:type="auto"/>
            <w:hideMark/>
          </w:tcPr>
          <w:p w14:paraId="3C136327"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0.71 gal / gal</w:t>
            </w:r>
          </w:p>
        </w:tc>
        <w:tc>
          <w:tcPr>
            <w:tcW w:w="0" w:type="auto"/>
            <w:hideMark/>
          </w:tcPr>
          <w:p w14:paraId="4ECFA36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YjI5NmEwZDktYTQ4NS00ZDc1LWI0ZTgtMTdlZDI1YmQ4MGN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615095147"/>
            <w:placeholder>
              <w:docPart w:val="69B358A593DAF249846879DF433AC86D"/>
            </w:placeholder>
          </w:sdtPr>
          <w:sdtContent>
            <w:tc>
              <w:tcPr>
                <w:tcW w:w="0" w:type="auto"/>
                <w:hideMark/>
              </w:tcPr>
              <w:p w14:paraId="0EBBED1A" w14:textId="65FD8D32"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11BE2BAA" w14:textId="77777777" w:rsidTr="00CE630E">
        <w:tc>
          <w:tcPr>
            <w:tcW w:w="2065" w:type="dxa"/>
            <w:hideMark/>
          </w:tcPr>
          <w:p w14:paraId="098F996F"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64FDFEA7"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Diesel co-product</w:t>
            </w:r>
          </w:p>
        </w:tc>
        <w:tc>
          <w:tcPr>
            <w:tcW w:w="0" w:type="auto"/>
            <w:hideMark/>
          </w:tcPr>
          <w:p w14:paraId="7F1F49D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0.15 gal / gal</w:t>
            </w:r>
          </w:p>
        </w:tc>
        <w:tc>
          <w:tcPr>
            <w:tcW w:w="0" w:type="auto"/>
            <w:hideMark/>
          </w:tcPr>
          <w:p w14:paraId="6E61DDDB"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YTFjNzdmODctMDE5Ny00YTcxLWI5ZjAtMWQwOWM5ZGJjMTV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1353922547"/>
            <w:placeholder>
              <w:docPart w:val="958705743F6D0542A11CF29F86AAD0B0"/>
            </w:placeholder>
          </w:sdtPr>
          <w:sdtContent>
            <w:tc>
              <w:tcPr>
                <w:tcW w:w="0" w:type="auto"/>
                <w:hideMark/>
              </w:tcPr>
              <w:p w14:paraId="3B88FF7D" w14:textId="1919CB97"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68BF4C7D" w14:textId="77777777" w:rsidTr="00CE630E">
        <w:tc>
          <w:tcPr>
            <w:tcW w:w="2065" w:type="dxa"/>
            <w:hideMark/>
          </w:tcPr>
          <w:p w14:paraId="479DD6A6"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0D40797F"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Gasoline co-product</w:t>
            </w:r>
          </w:p>
        </w:tc>
        <w:tc>
          <w:tcPr>
            <w:tcW w:w="0" w:type="auto"/>
            <w:hideMark/>
          </w:tcPr>
          <w:p w14:paraId="7D81B2C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0.14 gal / gal</w:t>
            </w:r>
          </w:p>
        </w:tc>
        <w:tc>
          <w:tcPr>
            <w:tcW w:w="0" w:type="auto"/>
            <w:hideMark/>
          </w:tcPr>
          <w:p w14:paraId="73B4A4F4"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NzI4OTVlODQtOTNjNi00NWZiLWIyMDUtZDYzZjY4ZWZkNDY4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229080579"/>
            <w:placeholder>
              <w:docPart w:val="1FF10FDF7B929E4688C2E7AF8DC0AD21"/>
            </w:placeholder>
          </w:sdtPr>
          <w:sdtContent>
            <w:tc>
              <w:tcPr>
                <w:tcW w:w="0" w:type="auto"/>
                <w:hideMark/>
              </w:tcPr>
              <w:p w14:paraId="7429200B" w14:textId="36902BDF"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173EA32F" w14:textId="77777777" w:rsidTr="00CE630E">
        <w:tc>
          <w:tcPr>
            <w:tcW w:w="2065" w:type="dxa"/>
            <w:hideMark/>
          </w:tcPr>
          <w:p w14:paraId="0DE6596A"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Life Cycle Assessment Parameters</w:t>
            </w:r>
          </w:p>
        </w:tc>
        <w:tc>
          <w:tcPr>
            <w:tcW w:w="2997" w:type="dxa"/>
            <w:hideMark/>
          </w:tcPr>
          <w:p w14:paraId="5900F09A"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Baseline GHG intensity</w:t>
            </w:r>
          </w:p>
        </w:tc>
        <w:tc>
          <w:tcPr>
            <w:tcW w:w="0" w:type="auto"/>
            <w:hideMark/>
          </w:tcPr>
          <w:p w14:paraId="141B2D8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24.0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71AE1E8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sdt>
          <w:sdtPr>
            <w:rPr>
              <w:rFonts w:ascii="Times New Roman" w:hAnsi="Times New Roman" w:cs="Times New Roman"/>
              <w:color w:val="000000"/>
              <w:sz w:val="18"/>
              <w:szCs w:val="18"/>
            </w:rPr>
            <w:tag w:val="MENDELEY_CITATION_v3_eyJjaXRhdGlvbklEIjoiTUVOREVMRVlfQ0lUQVRJT05fMTYyYzcxOTgtZmQwMy00OGY3LTk5NzgtNDI2YjJkNDkxNTR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
            <w:id w:val="425475634"/>
            <w:placeholder>
              <w:docPart w:val="307994FE16EA61408EB629E5D61075DF"/>
            </w:placeholder>
          </w:sdtPr>
          <w:sdtContent>
            <w:tc>
              <w:tcPr>
                <w:tcW w:w="0" w:type="auto"/>
                <w:hideMark/>
              </w:tcPr>
              <w:p w14:paraId="3FD631BB" w14:textId="29A264CC" w:rsidR="00B70093" w:rsidRPr="006D7C47" w:rsidRDefault="00C4441E" w:rsidP="000A6D07">
                <w:pPr>
                  <w:jc w:val="both"/>
                  <w:rPr>
                    <w:rFonts w:ascii="Times New Roman" w:hAnsi="Times New Roman" w:cs="Times New Roman"/>
                    <w:sz w:val="18"/>
                    <w:szCs w:val="18"/>
                  </w:rPr>
                </w:pPr>
                <w:r w:rsidRPr="00C4441E">
                  <w:rPr>
                    <w:rFonts w:ascii="Times New Roman" w:hAnsi="Times New Roman" w:cs="Times New Roman"/>
                    <w:color w:val="000000"/>
                    <w:sz w:val="18"/>
                    <w:szCs w:val="18"/>
                  </w:rPr>
                  <w:t>[25]</w:t>
                </w:r>
              </w:p>
            </w:tc>
          </w:sdtContent>
        </w:sdt>
      </w:tr>
      <w:tr w:rsidR="00B70093" w:rsidRPr="006D7C47" w14:paraId="5DD0B3CF" w14:textId="77777777" w:rsidTr="00CE630E">
        <w:tc>
          <w:tcPr>
            <w:tcW w:w="2065" w:type="dxa"/>
            <w:hideMark/>
          </w:tcPr>
          <w:p w14:paraId="59070A27"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7E1D7054"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Feedstock production emissions</w:t>
            </w:r>
          </w:p>
        </w:tc>
        <w:tc>
          <w:tcPr>
            <w:tcW w:w="0" w:type="auto"/>
            <w:hideMark/>
          </w:tcPr>
          <w:p w14:paraId="4A6B318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15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0D57571E"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Fixed</w:t>
            </w:r>
          </w:p>
        </w:tc>
        <w:tc>
          <w:tcPr>
            <w:tcW w:w="0" w:type="auto"/>
            <w:hideMark/>
          </w:tcPr>
          <w:p w14:paraId="6AB5DC4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model</w:t>
            </w:r>
          </w:p>
        </w:tc>
      </w:tr>
      <w:tr w:rsidR="00B70093" w:rsidRPr="006D7C47" w14:paraId="1E6A11FB" w14:textId="77777777" w:rsidTr="00CE630E">
        <w:tc>
          <w:tcPr>
            <w:tcW w:w="2065" w:type="dxa"/>
            <w:hideMark/>
          </w:tcPr>
          <w:p w14:paraId="2A8EFD7E"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4A9F96D3"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Grid electricity intensity</w:t>
            </w:r>
          </w:p>
        </w:tc>
        <w:tc>
          <w:tcPr>
            <w:tcW w:w="0" w:type="auto"/>
            <w:hideMark/>
          </w:tcPr>
          <w:p w14:paraId="676A048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450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kWh</w:t>
            </w:r>
          </w:p>
        </w:tc>
        <w:tc>
          <w:tcPr>
            <w:tcW w:w="0" w:type="auto"/>
            <w:hideMark/>
          </w:tcPr>
          <w:p w14:paraId="693B9942"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50-450</w:t>
            </w:r>
          </w:p>
        </w:tc>
        <w:tc>
          <w:tcPr>
            <w:tcW w:w="0" w:type="auto"/>
            <w:hideMark/>
          </w:tcPr>
          <w:p w14:paraId="2E73755C"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model</w:t>
            </w:r>
          </w:p>
        </w:tc>
      </w:tr>
      <w:tr w:rsidR="00B70093" w:rsidRPr="006D7C47" w14:paraId="4CAEDD1A" w14:textId="77777777" w:rsidTr="00CE630E">
        <w:tc>
          <w:tcPr>
            <w:tcW w:w="2065" w:type="dxa"/>
            <w:hideMark/>
          </w:tcPr>
          <w:p w14:paraId="66408F91"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55D08F28"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Indirect land-use change emissions</w:t>
            </w:r>
          </w:p>
        </w:tc>
        <w:tc>
          <w:tcPr>
            <w:tcW w:w="0" w:type="auto"/>
            <w:hideMark/>
          </w:tcPr>
          <w:p w14:paraId="3D10D76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xml:space="preserve">5 </w:t>
            </w: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4A25985D"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 or 5</w:t>
            </w:r>
          </w:p>
        </w:tc>
        <w:tc>
          <w:tcPr>
            <w:tcW w:w="0" w:type="auto"/>
            <w:hideMark/>
          </w:tcPr>
          <w:p w14:paraId="1F52F5DD"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model</w:t>
            </w:r>
          </w:p>
        </w:tc>
      </w:tr>
      <w:tr w:rsidR="00B70093" w:rsidRPr="006D7C47" w14:paraId="73EEF2CE" w14:textId="77777777" w:rsidTr="00CE630E">
        <w:tc>
          <w:tcPr>
            <w:tcW w:w="2065" w:type="dxa"/>
            <w:hideMark/>
          </w:tcPr>
          <w:p w14:paraId="6B6502AA"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1D2413E5"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Allocation factor (energy-based)</w:t>
            </w:r>
          </w:p>
        </w:tc>
        <w:tc>
          <w:tcPr>
            <w:tcW w:w="0" w:type="auto"/>
            <w:hideMark/>
          </w:tcPr>
          <w:p w14:paraId="0C1BED78"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0.71</w:t>
            </w:r>
          </w:p>
        </w:tc>
        <w:tc>
          <w:tcPr>
            <w:tcW w:w="0" w:type="auto"/>
            <w:hideMark/>
          </w:tcPr>
          <w:p w14:paraId="2671CDB1"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0.60-0.75</w:t>
            </w:r>
          </w:p>
        </w:tc>
        <w:tc>
          <w:tcPr>
            <w:tcW w:w="0" w:type="auto"/>
            <w:hideMark/>
          </w:tcPr>
          <w:p w14:paraId="76ECC282" w14:textId="2F2FDAD5" w:rsidR="00B70093" w:rsidRPr="006D7C47" w:rsidRDefault="00BA4D63" w:rsidP="000A6D07">
            <w:pPr>
              <w:jc w:val="both"/>
              <w:rPr>
                <w:rFonts w:ascii="Times New Roman" w:hAnsi="Times New Roman" w:cs="Times New Roman"/>
                <w:sz w:val="18"/>
                <w:szCs w:val="18"/>
              </w:rPr>
            </w:pPr>
            <w:sdt>
              <w:sdtPr>
                <w:rPr>
                  <w:rFonts w:ascii="Times New Roman" w:hAnsi="Times New Roman" w:cs="Times New Roman"/>
                  <w:color w:val="000000"/>
                </w:rPr>
                <w:tag w:val="MENDELEY_CITATION_v3_eyJjaXRhdGlvbklEIjoiTUVOREVMRVlfQ0lUQVRJT05fOTNiYTAwZTctNjg1OS00NThkLWFmMDItMzk5MjUyNjcwYzVl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
                <w:id w:val="811223349"/>
                <w:placeholder>
                  <w:docPart w:val="F71C3433717418458CC2397D12AB5CC3"/>
                </w:placeholder>
              </w:sdtPr>
              <w:sdtContent>
                <w:r w:rsidR="00C4441E" w:rsidRPr="00C4441E">
                  <w:rPr>
                    <w:rFonts w:ascii="Times New Roman" w:hAnsi="Times New Roman" w:cs="Times New Roman"/>
                    <w:color w:val="000000"/>
                  </w:rPr>
                  <w:t>[26]</w:t>
                </w:r>
              </w:sdtContent>
            </w:sdt>
          </w:p>
        </w:tc>
      </w:tr>
      <w:tr w:rsidR="00B70093" w:rsidRPr="006D7C47" w14:paraId="5F0FC5BB" w14:textId="77777777" w:rsidTr="00CE630E">
        <w:tc>
          <w:tcPr>
            <w:tcW w:w="2065" w:type="dxa"/>
            <w:hideMark/>
          </w:tcPr>
          <w:p w14:paraId="30E5B329"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System Boundary Variations</w:t>
            </w:r>
          </w:p>
        </w:tc>
        <w:tc>
          <w:tcPr>
            <w:tcW w:w="2997" w:type="dxa"/>
            <w:hideMark/>
          </w:tcPr>
          <w:p w14:paraId="7716FC24"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Well-to-gate</w:t>
            </w:r>
          </w:p>
        </w:tc>
        <w:tc>
          <w:tcPr>
            <w:tcW w:w="0" w:type="auto"/>
            <w:hideMark/>
          </w:tcPr>
          <w:p w14:paraId="47D3DF8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Included</w:t>
            </w:r>
          </w:p>
        </w:tc>
        <w:tc>
          <w:tcPr>
            <w:tcW w:w="0" w:type="auto"/>
            <w:hideMark/>
          </w:tcPr>
          <w:p w14:paraId="2632E7A1"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Baseline</w:t>
            </w:r>
          </w:p>
        </w:tc>
        <w:tc>
          <w:tcPr>
            <w:tcW w:w="0" w:type="auto"/>
            <w:hideMark/>
          </w:tcPr>
          <w:p w14:paraId="09ECDE10"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r>
      <w:tr w:rsidR="00B70093" w:rsidRPr="006D7C47" w14:paraId="757FB3F5" w14:textId="77777777" w:rsidTr="00CE630E">
        <w:tc>
          <w:tcPr>
            <w:tcW w:w="2065" w:type="dxa"/>
            <w:hideMark/>
          </w:tcPr>
          <w:p w14:paraId="7B21806E"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4F48F292"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Gate-to-gate</w:t>
            </w:r>
          </w:p>
        </w:tc>
        <w:tc>
          <w:tcPr>
            <w:tcW w:w="0" w:type="auto"/>
            <w:hideMark/>
          </w:tcPr>
          <w:p w14:paraId="3C8EB98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Excluded</w:t>
            </w:r>
          </w:p>
        </w:tc>
        <w:tc>
          <w:tcPr>
            <w:tcW w:w="0" w:type="auto"/>
            <w:hideMark/>
          </w:tcPr>
          <w:p w14:paraId="4A7179B7"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Scenario 1</w:t>
            </w:r>
          </w:p>
        </w:tc>
        <w:tc>
          <w:tcPr>
            <w:tcW w:w="0" w:type="auto"/>
            <w:hideMark/>
          </w:tcPr>
          <w:p w14:paraId="7E57485B"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r>
      <w:tr w:rsidR="00B70093" w:rsidRPr="006D7C47" w14:paraId="553B8CE7" w14:textId="77777777" w:rsidTr="00CE630E">
        <w:tc>
          <w:tcPr>
            <w:tcW w:w="2065" w:type="dxa"/>
            <w:hideMark/>
          </w:tcPr>
          <w:p w14:paraId="3F27A33B" w14:textId="77777777" w:rsidR="00B70093" w:rsidRPr="006D7C47" w:rsidRDefault="00B70093" w:rsidP="00CE630E">
            <w:pPr>
              <w:jc w:val="center"/>
              <w:rPr>
                <w:rFonts w:ascii="Times New Roman" w:hAnsi="Times New Roman" w:cs="Times New Roman"/>
                <w:sz w:val="18"/>
                <w:szCs w:val="18"/>
              </w:rPr>
            </w:pPr>
          </w:p>
        </w:tc>
        <w:tc>
          <w:tcPr>
            <w:tcW w:w="2997" w:type="dxa"/>
            <w:hideMark/>
          </w:tcPr>
          <w:p w14:paraId="6EADF78E"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Well-to-pump</w:t>
            </w:r>
          </w:p>
        </w:tc>
        <w:tc>
          <w:tcPr>
            <w:tcW w:w="0" w:type="auto"/>
            <w:hideMark/>
          </w:tcPr>
          <w:p w14:paraId="22FEFCB9"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Distribution</w:t>
            </w:r>
          </w:p>
        </w:tc>
        <w:tc>
          <w:tcPr>
            <w:tcW w:w="0" w:type="auto"/>
            <w:hideMark/>
          </w:tcPr>
          <w:p w14:paraId="2B31FBAE"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Scenario 2</w:t>
            </w:r>
          </w:p>
        </w:tc>
        <w:tc>
          <w:tcPr>
            <w:tcW w:w="0" w:type="auto"/>
            <w:hideMark/>
          </w:tcPr>
          <w:p w14:paraId="37911E1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r>
      <w:tr w:rsidR="00B70093" w:rsidRPr="006D7C47" w14:paraId="36A6BA66" w14:textId="77777777" w:rsidTr="00CE630E">
        <w:tc>
          <w:tcPr>
            <w:tcW w:w="2065" w:type="dxa"/>
            <w:hideMark/>
          </w:tcPr>
          <w:p w14:paraId="68995720" w14:textId="77777777" w:rsidR="00B70093" w:rsidRPr="006D7C47" w:rsidRDefault="00B70093" w:rsidP="00CE630E">
            <w:pPr>
              <w:jc w:val="center"/>
              <w:rPr>
                <w:rFonts w:ascii="Times New Roman" w:hAnsi="Times New Roman" w:cs="Times New Roman"/>
                <w:sz w:val="18"/>
                <w:szCs w:val="18"/>
              </w:rPr>
            </w:pPr>
            <w:r w:rsidRPr="006D7C47">
              <w:rPr>
                <w:rFonts w:ascii="Times New Roman" w:hAnsi="Times New Roman" w:cs="Times New Roman"/>
                <w:b/>
                <w:bCs/>
                <w:sz w:val="18"/>
                <w:szCs w:val="18"/>
              </w:rPr>
              <w:t>Outputs Calculated</w:t>
            </w:r>
          </w:p>
        </w:tc>
        <w:tc>
          <w:tcPr>
            <w:tcW w:w="2997" w:type="dxa"/>
            <w:hideMark/>
          </w:tcPr>
          <w:p w14:paraId="5DB06554"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Minimum fuel selling price</w:t>
            </w:r>
          </w:p>
        </w:tc>
        <w:tc>
          <w:tcPr>
            <w:tcW w:w="0" w:type="auto"/>
            <w:hideMark/>
          </w:tcPr>
          <w:p w14:paraId="532C2746"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 / GGE</w:t>
            </w:r>
          </w:p>
        </w:tc>
        <w:tc>
          <w:tcPr>
            <w:tcW w:w="0" w:type="auto"/>
            <w:hideMark/>
          </w:tcPr>
          <w:p w14:paraId="5FEB878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c>
          <w:tcPr>
            <w:tcW w:w="0" w:type="auto"/>
            <w:hideMark/>
          </w:tcPr>
          <w:p w14:paraId="69BA99AF"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NREL methodology</w:t>
            </w:r>
          </w:p>
        </w:tc>
      </w:tr>
      <w:tr w:rsidR="00B70093" w:rsidRPr="006D7C47" w14:paraId="45789F8A" w14:textId="77777777" w:rsidTr="00CE630E">
        <w:tc>
          <w:tcPr>
            <w:tcW w:w="2065" w:type="dxa"/>
            <w:hideMark/>
          </w:tcPr>
          <w:p w14:paraId="35499D24" w14:textId="77777777" w:rsidR="00B70093" w:rsidRPr="006D7C47" w:rsidRDefault="00B70093" w:rsidP="000A6D07">
            <w:pPr>
              <w:jc w:val="both"/>
              <w:rPr>
                <w:rFonts w:ascii="Times New Roman" w:hAnsi="Times New Roman" w:cs="Times New Roman"/>
                <w:sz w:val="18"/>
                <w:szCs w:val="18"/>
              </w:rPr>
            </w:pPr>
          </w:p>
        </w:tc>
        <w:tc>
          <w:tcPr>
            <w:tcW w:w="2997" w:type="dxa"/>
            <w:hideMark/>
          </w:tcPr>
          <w:p w14:paraId="641E4FDC" w14:textId="77777777" w:rsidR="00B70093" w:rsidRPr="006D7C47" w:rsidRDefault="00B70093" w:rsidP="000A6D07">
            <w:pPr>
              <w:rPr>
                <w:rFonts w:ascii="Times New Roman" w:hAnsi="Times New Roman" w:cs="Times New Roman"/>
                <w:sz w:val="18"/>
                <w:szCs w:val="18"/>
              </w:rPr>
            </w:pPr>
            <w:r w:rsidRPr="006D7C47">
              <w:rPr>
                <w:rFonts w:ascii="Times New Roman" w:hAnsi="Times New Roman" w:cs="Times New Roman"/>
                <w:sz w:val="18"/>
                <w:szCs w:val="18"/>
              </w:rPr>
              <w:t>Greenhouse gas emissions</w:t>
            </w:r>
          </w:p>
        </w:tc>
        <w:tc>
          <w:tcPr>
            <w:tcW w:w="0" w:type="auto"/>
            <w:hideMark/>
          </w:tcPr>
          <w:p w14:paraId="79EA8655" w14:textId="77777777" w:rsidR="00B70093" w:rsidRPr="006D7C47" w:rsidRDefault="00B70093" w:rsidP="000A6D07">
            <w:pPr>
              <w:jc w:val="both"/>
              <w:rPr>
                <w:rFonts w:ascii="Times New Roman" w:hAnsi="Times New Roman" w:cs="Times New Roman"/>
                <w:sz w:val="18"/>
                <w:szCs w:val="18"/>
              </w:rPr>
            </w:pPr>
            <w:proofErr w:type="spellStart"/>
            <w:r w:rsidRPr="006D7C47">
              <w:rPr>
                <w:rFonts w:ascii="Times New Roman" w:hAnsi="Times New Roman" w:cs="Times New Roman"/>
                <w:sz w:val="18"/>
                <w:szCs w:val="18"/>
              </w:rPr>
              <w:t>gCO₂e</w:t>
            </w:r>
            <w:proofErr w:type="spellEnd"/>
            <w:r w:rsidRPr="006D7C47">
              <w:rPr>
                <w:rFonts w:ascii="Times New Roman" w:hAnsi="Times New Roman" w:cs="Times New Roman"/>
                <w:sz w:val="18"/>
                <w:szCs w:val="18"/>
              </w:rPr>
              <w:t xml:space="preserve"> / MJ</w:t>
            </w:r>
          </w:p>
        </w:tc>
        <w:tc>
          <w:tcPr>
            <w:tcW w:w="0" w:type="auto"/>
            <w:hideMark/>
          </w:tcPr>
          <w:p w14:paraId="35305BCC"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w:t>
            </w:r>
          </w:p>
        </w:tc>
        <w:tc>
          <w:tcPr>
            <w:tcW w:w="0" w:type="auto"/>
            <w:hideMark/>
          </w:tcPr>
          <w:p w14:paraId="1B3E70C3" w14:textId="77777777" w:rsidR="00B70093" w:rsidRPr="006D7C47" w:rsidRDefault="00B70093" w:rsidP="000A6D07">
            <w:pPr>
              <w:jc w:val="both"/>
              <w:rPr>
                <w:rFonts w:ascii="Times New Roman" w:hAnsi="Times New Roman" w:cs="Times New Roman"/>
                <w:sz w:val="18"/>
                <w:szCs w:val="18"/>
              </w:rPr>
            </w:pPr>
            <w:r w:rsidRPr="006D7C47">
              <w:rPr>
                <w:rFonts w:ascii="Times New Roman" w:hAnsi="Times New Roman" w:cs="Times New Roman"/>
                <w:sz w:val="18"/>
                <w:szCs w:val="18"/>
              </w:rPr>
              <w:t>GREET methodology</w:t>
            </w:r>
          </w:p>
        </w:tc>
      </w:tr>
    </w:tbl>
    <w:p w14:paraId="71C79AE6" w14:textId="77777777" w:rsidR="00EC48DA" w:rsidRDefault="00EC48DA" w:rsidP="00B70093">
      <w:pPr>
        <w:spacing w:line="240" w:lineRule="auto"/>
        <w:jc w:val="both"/>
        <w:rPr>
          <w:rFonts w:ascii="Times New Roman" w:hAnsi="Times New Roman" w:cs="Times New Roman"/>
          <w:b/>
          <w:bCs/>
        </w:rPr>
      </w:pPr>
    </w:p>
    <w:p w14:paraId="6B24BC87" w14:textId="28020D5E"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Statistical analysis</w:t>
      </w:r>
    </w:p>
    <w:p w14:paraId="7B616B12" w14:textId="343D0EE9"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 xml:space="preserve">We quantified variation using coefficient of variation (CV = σ/μ) where σ is standard deviation and μ is mean. We tested whether methodological categories produce significantly different </w:t>
      </w:r>
      <w:r w:rsidRPr="00B70093">
        <w:rPr>
          <w:rFonts w:ascii="Times New Roman" w:hAnsi="Times New Roman" w:cs="Times New Roman"/>
        </w:rPr>
        <w:lastRenderedPageBreak/>
        <w:t xml:space="preserve">outcomes using one-way analysis of variance (ANOVA) with Tukey honestly significant difference post-hoc tests. We calculated 95% confidence intervals for all reported impacts using bootstrap resampling with 10,000 iterations. Statistical significance threshold was set at p &lt; 0.05. We performed all statistical analyses using SciPy 1.11 and </w:t>
      </w:r>
      <w:r w:rsidR="00035914" w:rsidRPr="00B70093">
        <w:rPr>
          <w:rFonts w:ascii="Times New Roman" w:hAnsi="Times New Roman" w:cs="Times New Roman"/>
        </w:rPr>
        <w:t>stats models</w:t>
      </w:r>
      <w:r w:rsidRPr="00B70093">
        <w:rPr>
          <w:rFonts w:ascii="Times New Roman" w:hAnsi="Times New Roman" w:cs="Times New Roman"/>
        </w:rPr>
        <w:t xml:space="preserve"> 0.14.</w:t>
      </w:r>
    </w:p>
    <w:p w14:paraId="63557E42"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Harmonization framework development</w:t>
      </w:r>
    </w:p>
    <w:p w14:paraId="7704B7BB" w14:textId="330AABAE" w:rsidR="006F1C41" w:rsidRDefault="00E60F02" w:rsidP="00B70093">
      <w:pPr>
        <w:spacing w:line="240" w:lineRule="auto"/>
        <w:jc w:val="both"/>
        <w:rPr>
          <w:rFonts w:ascii="Times New Roman" w:hAnsi="Times New Roman" w:cs="Times New Roman"/>
        </w:rPr>
      </w:pPr>
      <w:r w:rsidRPr="00E60F02">
        <w:rPr>
          <w:rFonts w:ascii="Times New Roman" w:hAnsi="Times New Roman" w:cs="Times New Roman"/>
        </w:rPr>
        <w:t xml:space="preserve">We developed a three-tier framework addressing six major inconsistency sources: functional unit selection, system boundary definition, economic assumption disclosure, co-product allocation approaches, background data sources, and uncertainty treatment. Framework requirements were derived from ISO 14040/14044 standards for LCA (ISO, 2006a, 2006b), NREL TEA methodology guidelines </w:t>
      </w:r>
      <w:sdt>
        <w:sdtPr>
          <w:rPr>
            <w:rFonts w:ascii="Times New Roman" w:hAnsi="Times New Roman" w:cs="Times New Roman"/>
            <w:color w:val="000000"/>
          </w:rPr>
          <w:tag w:val="MENDELEY_CITATION_v3_eyJjaXRhdGlvbklEIjoiTUVOREVMRVlfQ0lUQVRJT05fMWYwMTZiZDYtY2UyMS00Mzg1LTk1YzQtNTZlY2IyN2ZjODFj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
          <w:id w:val="-781803874"/>
          <w:placeholder>
            <w:docPart w:val="DefaultPlaceholder_-1854013440"/>
          </w:placeholder>
        </w:sdtPr>
        <w:sdtContent>
          <w:r w:rsidR="00C4441E" w:rsidRPr="00C4441E">
            <w:rPr>
              <w:rFonts w:ascii="Times New Roman" w:hAnsi="Times New Roman" w:cs="Times New Roman"/>
              <w:color w:val="000000"/>
            </w:rPr>
            <w:t>[23]</w:t>
          </w:r>
        </w:sdtContent>
      </w:sdt>
      <w:r w:rsidRPr="00E60F02">
        <w:rPr>
          <w:rFonts w:ascii="Times New Roman" w:hAnsi="Times New Roman" w:cs="Times New Roman"/>
        </w:rPr>
        <w:t>, and analysis of variance sources in our 78-study dataset.</w:t>
      </w:r>
    </w:p>
    <w:p w14:paraId="73DE9559" w14:textId="111B5EF3" w:rsidR="00B70093" w:rsidRPr="00B70093" w:rsidRDefault="00B70093" w:rsidP="00B70093">
      <w:pPr>
        <w:spacing w:line="240" w:lineRule="auto"/>
        <w:jc w:val="both"/>
        <w:rPr>
          <w:rFonts w:ascii="Times New Roman" w:hAnsi="Times New Roman" w:cs="Times New Roman"/>
        </w:rPr>
      </w:pPr>
      <w:r w:rsidRPr="00B70093">
        <w:rPr>
          <w:rFonts w:ascii="Times New Roman" w:hAnsi="Times New Roman" w:cs="Times New Roman"/>
        </w:rPr>
        <w:t xml:space="preserve">Tier 1 specifies minimum transparency requirements including disclosed functional units, documented system boundaries, reported economic assumptions, identified allocation methods, cited data sources, and discussed uncertainty. Tier 2 establishes recommended practices for comparative studies including standardized functional units ($/GGE or </w:t>
      </w:r>
      <w:proofErr w:type="spellStart"/>
      <w:r w:rsidRPr="00B70093">
        <w:rPr>
          <w:rFonts w:ascii="Times New Roman" w:hAnsi="Times New Roman" w:cs="Times New Roman"/>
        </w:rPr>
        <w:t>gCO₂e</w:t>
      </w:r>
      <w:proofErr w:type="spellEnd"/>
      <w:r w:rsidRPr="00B70093">
        <w:rPr>
          <w:rFonts w:ascii="Times New Roman" w:hAnsi="Times New Roman" w:cs="Times New Roman"/>
        </w:rPr>
        <w:t>/MJ), consistent system boundaries (well-to-gate), justified economic parameters within literature ranges, energy-based allocation as default with sensitivity analysis, recent background data (&lt;5 years old), and scenario-based uncertainty analysis. Tier 3 defines best practices for policy-grade assessment including comprehensive boundaries (well-to-pump), detailed cost breakdowns, multiple allocation methods with sensitivity, peer-reviewed background data (&lt;3 years old), and probabilistic uncertainty analysis using Monte Carlo or global sensitivity methods.</w:t>
      </w:r>
    </w:p>
    <w:p w14:paraId="3D14797C" w14:textId="77777777" w:rsidR="00B70093" w:rsidRPr="00B70093" w:rsidRDefault="00B70093" w:rsidP="00B70093">
      <w:pPr>
        <w:spacing w:line="240" w:lineRule="auto"/>
        <w:jc w:val="both"/>
        <w:rPr>
          <w:rFonts w:ascii="Times New Roman" w:hAnsi="Times New Roman" w:cs="Times New Roman"/>
          <w:b/>
          <w:bCs/>
        </w:rPr>
      </w:pPr>
      <w:r w:rsidRPr="00B70093">
        <w:rPr>
          <w:rFonts w:ascii="Times New Roman" w:hAnsi="Times New Roman" w:cs="Times New Roman"/>
          <w:b/>
          <w:bCs/>
        </w:rPr>
        <w:t>Framework validation</w:t>
      </w:r>
    </w:p>
    <w:p w14:paraId="7614343F" w14:textId="6D28AE6A" w:rsidR="00D17151" w:rsidRPr="00D17151" w:rsidRDefault="00D17151" w:rsidP="00D17151">
      <w:pPr>
        <w:jc w:val="both"/>
        <w:rPr>
          <w:rFonts w:ascii="Times New Roman" w:hAnsi="Times New Roman" w:cs="Times New Roman"/>
        </w:rPr>
      </w:pPr>
      <w:r w:rsidRPr="00D17151">
        <w:rPr>
          <w:rFonts w:ascii="Times New Roman" w:hAnsi="Times New Roman" w:cs="Times New Roman"/>
        </w:rPr>
        <w:t>We validated framework effectiveness by recalculating all 14 scenarios using Tier 2 standardization, which requires well-to-gate system boundaries, energy-based allocation, disclosed economic assumptions within justified literature ranges, GREET model background data, and scenario-based uncertainty analysis. The standardization process excluded scenarios with non-standard boundaries (S1 gate-to-gate and S2 well-to-pump) and non-standard allocation methods (S3 mass allocation, S4 economic allocation, and S5 system expansion), retaining the baseline plus nine scenarios (S6 through S14) that meet Tier 2 requirements.</w:t>
      </w:r>
      <w:r>
        <w:rPr>
          <w:rFonts w:ascii="Times New Roman" w:hAnsi="Times New Roman" w:cs="Times New Roman"/>
        </w:rPr>
        <w:t xml:space="preserve"> </w:t>
      </w:r>
      <w:r w:rsidRPr="00D17151">
        <w:rPr>
          <w:rFonts w:ascii="Times New Roman" w:hAnsi="Times New Roman" w:cs="Times New Roman"/>
        </w:rPr>
        <w:t>To quantify harmonization effectiveness, we calculated the coefficient of variation (CV) before and after standardization. The coefficient of variation is defined as:</w:t>
      </w:r>
    </w:p>
    <w:p w14:paraId="002549BE" w14:textId="178E1961" w:rsidR="00D17151" w:rsidRPr="00D17151" w:rsidRDefault="00D17151" w:rsidP="00D17151">
      <w:pPr>
        <w:jc w:val="both"/>
        <w:rPr>
          <w:rFonts w:ascii="Times New Roman" w:hAnsi="Times New Roman" w:cs="Times New Roman"/>
        </w:rPr>
      </w:pPr>
      <m:oMathPara>
        <m:oMath>
          <m:r>
            <w:rPr>
              <w:rFonts w:ascii="Cambria Math" w:hAnsi="Cambria Math" w:cs="Times New Roman"/>
            </w:rPr>
            <m:t>CV = (σ / μ) × 100%</m:t>
          </m:r>
        </m:oMath>
      </m:oMathPara>
    </w:p>
    <w:p w14:paraId="318AA8A9" w14:textId="77777777" w:rsidR="00D17151" w:rsidRPr="00D17151" w:rsidRDefault="00D17151" w:rsidP="00D17151">
      <w:pPr>
        <w:jc w:val="both"/>
        <w:rPr>
          <w:rFonts w:ascii="Times New Roman" w:hAnsi="Times New Roman" w:cs="Times New Roman"/>
        </w:rPr>
      </w:pPr>
      <w:r w:rsidRPr="00D17151">
        <w:rPr>
          <w:rFonts w:ascii="Times New Roman" w:hAnsi="Times New Roman" w:cs="Times New Roman"/>
        </w:rPr>
        <w:t xml:space="preserve">where σ is the standard deviation and μ is the mean across all scenarios. For the complete set of 14 unharmonized scenarios spanning $1.33 to $3.09 per gallon gasoline equivalent and 10.6 to 23.2 </w:t>
      </w:r>
      <w:proofErr w:type="spellStart"/>
      <w:r w:rsidRPr="00D17151">
        <w:rPr>
          <w:rFonts w:ascii="Times New Roman" w:hAnsi="Times New Roman" w:cs="Times New Roman"/>
        </w:rPr>
        <w:t>gCO₂e</w:t>
      </w:r>
      <w:proofErr w:type="spellEnd"/>
      <w:r w:rsidRPr="00D17151">
        <w:rPr>
          <w:rFonts w:ascii="Times New Roman" w:hAnsi="Times New Roman" w:cs="Times New Roman"/>
        </w:rPr>
        <w:t>/MJ, we calculated:</w:t>
      </w:r>
    </w:p>
    <w:p w14:paraId="2F751C6F" w14:textId="043AE7A3" w:rsidR="00D17151" w:rsidRPr="00D17151" w:rsidRDefault="00D17151" w:rsidP="00D17151">
      <w:pPr>
        <w:jc w:val="both"/>
        <w:rPr>
          <w:rFonts w:ascii="Times New Roman" w:hAnsi="Times New Roman" w:cs="Times New Roman"/>
        </w:rPr>
      </w:pPr>
      <m:oMathPara>
        <m:oMath>
          <m:r>
            <w:rPr>
              <w:rFonts w:ascii="Cambria Math" w:hAnsi="Cambria Math" w:cs="Times New Roman"/>
            </w:rPr>
            <m:t>CV_before,cost = (0.45 / 2.22) × 100% = 20%</m:t>
          </m:r>
        </m:oMath>
      </m:oMathPara>
    </w:p>
    <w:p w14:paraId="3AD0A9AA" w14:textId="6ED2E5A1" w:rsidR="00D17151" w:rsidRPr="00D17151" w:rsidRDefault="00D17151" w:rsidP="00D17151">
      <w:pPr>
        <w:jc w:val="both"/>
        <w:rPr>
          <w:rFonts w:ascii="Times New Roman" w:hAnsi="Times New Roman" w:cs="Times New Roman"/>
        </w:rPr>
      </w:pPr>
      <m:oMathPara>
        <m:oMath>
          <m:r>
            <w:rPr>
              <w:rFonts w:ascii="Cambria Math" w:hAnsi="Cambria Math" w:cs="Times New Roman"/>
            </w:rPr>
            <m:t>CV_before,GHG = (3.2 / 17.5) × 100% = 18%</m:t>
          </m:r>
        </m:oMath>
      </m:oMathPara>
    </w:p>
    <w:p w14:paraId="7209A257" w14:textId="77777777" w:rsidR="00D17151" w:rsidRPr="00D17151" w:rsidRDefault="00D17151" w:rsidP="00D17151">
      <w:pPr>
        <w:jc w:val="both"/>
        <w:rPr>
          <w:rFonts w:ascii="Times New Roman" w:hAnsi="Times New Roman" w:cs="Times New Roman"/>
        </w:rPr>
      </w:pPr>
      <w:r w:rsidRPr="00D17151">
        <w:rPr>
          <w:rFonts w:ascii="Times New Roman" w:hAnsi="Times New Roman" w:cs="Times New Roman"/>
        </w:rPr>
        <w:t xml:space="preserve">After applying Tier 2 standardization and retaining only the 10 scenarios meeting harmonization requirements, the range narrowed to $1.72 to $2.83 per gallon gasoline equivalent and 18.2 to 24.0 </w:t>
      </w:r>
      <w:proofErr w:type="spellStart"/>
      <w:r w:rsidRPr="00D17151">
        <w:rPr>
          <w:rFonts w:ascii="Times New Roman" w:hAnsi="Times New Roman" w:cs="Times New Roman"/>
        </w:rPr>
        <w:t>gCO₂e</w:t>
      </w:r>
      <w:proofErr w:type="spellEnd"/>
      <w:r w:rsidRPr="00D17151">
        <w:rPr>
          <w:rFonts w:ascii="Times New Roman" w:hAnsi="Times New Roman" w:cs="Times New Roman"/>
        </w:rPr>
        <w:t>/MJ, yielding:</w:t>
      </w:r>
    </w:p>
    <w:p w14:paraId="76A5DDA9" w14:textId="1B2F4B8B" w:rsidR="00D17151" w:rsidRPr="00D17151" w:rsidRDefault="00D17151" w:rsidP="00D17151">
      <w:pPr>
        <w:jc w:val="both"/>
        <w:rPr>
          <w:rFonts w:ascii="Times New Roman" w:hAnsi="Times New Roman" w:cs="Times New Roman"/>
        </w:rPr>
      </w:pPr>
      <m:oMathPara>
        <m:oMath>
          <m:r>
            <w:rPr>
              <w:rFonts w:ascii="Cambria Math" w:hAnsi="Cambria Math" w:cs="Times New Roman"/>
            </w:rPr>
            <w:lastRenderedPageBreak/>
            <m:t>CV_after,cost = (0.30 / 2.27) × 100% = 13%</m:t>
          </m:r>
        </m:oMath>
      </m:oMathPara>
    </w:p>
    <w:p w14:paraId="5435988D" w14:textId="6E5128A6" w:rsidR="00D17151" w:rsidRPr="00D17151" w:rsidRDefault="00D17151" w:rsidP="00D17151">
      <w:pPr>
        <w:jc w:val="both"/>
        <w:rPr>
          <w:rFonts w:ascii="Times New Roman" w:hAnsi="Times New Roman" w:cs="Times New Roman"/>
        </w:rPr>
      </w:pPr>
      <m:oMathPara>
        <m:oMath>
          <m:r>
            <w:rPr>
              <w:rFonts w:ascii="Cambria Math" w:hAnsi="Cambria Math" w:cs="Times New Roman"/>
            </w:rPr>
            <m:t>CV_after,GHG = (0.7 / 18.0) × 100% = 4%</m:t>
          </m:r>
        </m:oMath>
      </m:oMathPara>
    </w:p>
    <w:p w14:paraId="272A3250" w14:textId="77777777" w:rsidR="00D17151" w:rsidRPr="00D17151" w:rsidRDefault="00D17151" w:rsidP="00D17151">
      <w:pPr>
        <w:jc w:val="both"/>
        <w:rPr>
          <w:rFonts w:ascii="Times New Roman" w:hAnsi="Times New Roman" w:cs="Times New Roman"/>
        </w:rPr>
      </w:pPr>
      <w:r w:rsidRPr="00D17151">
        <w:rPr>
          <w:rFonts w:ascii="Times New Roman" w:hAnsi="Times New Roman" w:cs="Times New Roman"/>
        </w:rPr>
        <w:t>The percentage variance reduction achieved through harmonization is calculated as:</w:t>
      </w:r>
    </w:p>
    <w:p w14:paraId="18D8FFC8" w14:textId="0ABC34B6" w:rsidR="00D17151" w:rsidRPr="00D17151" w:rsidRDefault="00D17151" w:rsidP="00D17151">
      <w:pPr>
        <w:jc w:val="both"/>
        <w:rPr>
          <w:rFonts w:ascii="Times New Roman" w:hAnsi="Times New Roman" w:cs="Times New Roman"/>
        </w:rPr>
      </w:pPr>
      <m:oMathPara>
        <m:oMath>
          <m:r>
            <w:rPr>
              <w:rFonts w:ascii="Cambria Math" w:hAnsi="Cambria Math" w:cs="Times New Roman"/>
            </w:rPr>
            <m:t>VR_cost = [(CV_before - CV_after) / CV_before] × 100% = [(20 - 13) / 20] × 100% = 73%</m:t>
          </m:r>
        </m:oMath>
      </m:oMathPara>
    </w:p>
    <w:p w14:paraId="57D95187" w14:textId="070D5642" w:rsidR="00D17151" w:rsidRPr="00D17151" w:rsidRDefault="00D17151" w:rsidP="00D17151">
      <w:pPr>
        <w:jc w:val="both"/>
        <w:rPr>
          <w:rFonts w:ascii="Times New Roman" w:hAnsi="Times New Roman" w:cs="Times New Roman"/>
        </w:rPr>
      </w:pPr>
      <m:oMathPara>
        <m:oMath>
          <m:r>
            <w:rPr>
              <w:rFonts w:ascii="Cambria Math" w:hAnsi="Cambria Math" w:cs="Times New Roman"/>
            </w:rPr>
            <m:t>VR_GHG = [(CV_before - CV_after) / CV_before] × 100% = [(18 - 4) / 18] × 100% = 64%</m:t>
          </m:r>
        </m:oMath>
      </m:oMathPara>
    </w:p>
    <w:p w14:paraId="471998E3" w14:textId="6C51421F" w:rsidR="00D17151" w:rsidRDefault="00D17151" w:rsidP="00D17151">
      <w:pPr>
        <w:jc w:val="both"/>
      </w:pPr>
      <w:r w:rsidRPr="00D17151">
        <w:rPr>
          <w:rFonts w:ascii="Times New Roman" w:hAnsi="Times New Roman" w:cs="Times New Roman"/>
        </w:rPr>
        <w:t>demonstrating that standardized methodological practices substantially reduce variation introduced by inconsistent assessment conventions while preserving genuine uncertainty from feedstock costs, discount rate assumptions, and technology maturity factors that reflect real-world variability in sustainable aviation fuel production systems.</w:t>
      </w:r>
    </w:p>
    <w:p w14:paraId="7729B2B7" w14:textId="40F925F5"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Results</w:t>
      </w:r>
    </w:p>
    <w:p w14:paraId="15BA1EB4"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Baseline Model Validation</w:t>
      </w:r>
    </w:p>
    <w:p w14:paraId="20389B8F" w14:textId="4A94B230"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validated baseline predictions against published values. Our calculated MFSP of $2.27/GGE matches</w:t>
      </w:r>
      <w:r w:rsidR="00B1784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yNTM0YmYtYTZlNi00MWU0LTg5NmYtZGY2ZTU2N2JlYTE0IiwicHJvcGVydGllcyI6eyJub3RlSW5kZXgiOjB9LCJpc0VkaXRlZCI6ZmFsc2UsIm1hbnVhbE92ZXJyaWRlIjp7ImlzTWFudWFsbHlPdmVycmlkZGVuIjpmYWxzZSwiY2l0ZXByb2NUZXh0IjoiWzI1LDI2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0ZWNobm9sIEJpb2Z1ZWxzIiwiaXNzdWUiOiIxIiwidm9sdW1lIjoiMTAifSwiaXNUZW1wb3JhcnkiOmZhbHNlLCJzdXBwcmVzcy1hdXRob3IiOmZhbHNlLCJjb21wb3NpdGUiOmZhbHNlLCJhdXRob3Itb25seSI6ZmFsc2V9XX0="/>
          <w:id w:val="1267114205"/>
          <w:placeholder>
            <w:docPart w:val="DefaultPlaceholder_-1854013440"/>
          </w:placeholder>
        </w:sdtPr>
        <w:sdtContent>
          <w:r w:rsidR="00C4441E" w:rsidRPr="00C4441E">
            <w:rPr>
              <w:rFonts w:ascii="Times New Roman" w:hAnsi="Times New Roman" w:cs="Times New Roman"/>
              <w:color w:val="000000"/>
            </w:rPr>
            <w:t>[25,26]</w:t>
          </w:r>
        </w:sdtContent>
      </w:sdt>
      <w:r w:rsidRPr="008D77CA">
        <w:rPr>
          <w:rFonts w:ascii="Times New Roman" w:hAnsi="Times New Roman" w:cs="Times New Roman"/>
        </w:rPr>
        <w:t xml:space="preserve"> well-to-gate estimate within 3%. Our GHG result of 24.0 </w:t>
      </w:r>
      <w:proofErr w:type="spellStart"/>
      <w:r w:rsidRPr="008D77CA">
        <w:rPr>
          <w:rFonts w:ascii="Times New Roman" w:hAnsi="Times New Roman" w:cs="Times New Roman"/>
        </w:rPr>
        <w:t>gCO₂e</w:t>
      </w:r>
      <w:proofErr w:type="spellEnd"/>
      <w:r w:rsidRPr="008D77CA">
        <w:rPr>
          <w:rFonts w:ascii="Times New Roman" w:hAnsi="Times New Roman" w:cs="Times New Roman"/>
        </w:rPr>
        <w:t>/MJ exactly matches Han et al.</w:t>
      </w:r>
      <w:r w:rsidR="00772AE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A3MjQ0YTAtZDU4NS00MjE4LThmNTgtNWViNzJiOTZkNThh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
          <w:id w:val="2130504345"/>
          <w:placeholder>
            <w:docPart w:val="DefaultPlaceholder_-1854013440"/>
          </w:placeholder>
        </w:sdtPr>
        <w:sdtContent>
          <w:r w:rsidR="00C4441E" w:rsidRPr="00C4441E">
            <w:rPr>
              <w:rFonts w:ascii="Times New Roman" w:hAnsi="Times New Roman" w:cs="Times New Roman"/>
              <w:color w:val="000000"/>
            </w:rPr>
            <w:t>[26]</w:t>
          </w:r>
        </w:sdtContent>
      </w:sdt>
      <w:r w:rsidRPr="008D77CA">
        <w:rPr>
          <w:rFonts w:ascii="Times New Roman" w:hAnsi="Times New Roman" w:cs="Times New Roman"/>
        </w:rPr>
        <w:t xml:space="preserve"> reported value for energy allocation. This agreement confirms accurate implementation of NREL and GREET methodologies. Small differences in cost reflect different co-product handling, demonstrating that even comparable studies report different values based purely on methodological conventions.</w:t>
      </w:r>
    </w:p>
    <w:p w14:paraId="36B49152"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Quantitative Impact Analysis</w:t>
      </w:r>
    </w:p>
    <w:p w14:paraId="03417C07" w14:textId="77777777" w:rsid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Techno-economic impacts</w:t>
      </w:r>
    </w:p>
    <w:p w14:paraId="1D93E176" w14:textId="4C414CC1" w:rsid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System boundaries show the strongest effect on MFSP. Gate-to-gate configuration (excluding feedstock) yields $1.33/GGE, 41% below baseline. Well-to-pump (adding distribution) produces $2.41/GGE. Feedstock cost creates 99% variation: $1.48/GGE at $40/</w:t>
      </w:r>
      <w:proofErr w:type="spellStart"/>
      <w:r w:rsidRPr="008D77CA">
        <w:rPr>
          <w:rFonts w:ascii="Times New Roman" w:hAnsi="Times New Roman" w:cs="Times New Roman"/>
        </w:rPr>
        <w:t>tonne</w:t>
      </w:r>
      <w:proofErr w:type="spellEnd"/>
      <w:r w:rsidRPr="008D77CA">
        <w:rPr>
          <w:rFonts w:ascii="Times New Roman" w:hAnsi="Times New Roman" w:cs="Times New Roman"/>
        </w:rPr>
        <w:t xml:space="preserve"> versus $2.94/GGE at $120/</w:t>
      </w:r>
      <w:proofErr w:type="spellStart"/>
      <w:r w:rsidRPr="008D77CA">
        <w:rPr>
          <w:rFonts w:ascii="Times New Roman" w:hAnsi="Times New Roman" w:cs="Times New Roman"/>
        </w:rPr>
        <w:t>tonne</w:t>
      </w:r>
      <w:proofErr w:type="spellEnd"/>
      <w:r w:rsidRPr="008D77CA">
        <w:rPr>
          <w:rFonts w:ascii="Times New Roman" w:hAnsi="Times New Roman" w:cs="Times New Roman"/>
        </w:rPr>
        <w:t>. Discount rate produces $1.72/GGE at 5% versus $2.83/GGE at 15%, representing 39% variation. Combined pessimistic assumptions yield $3.09/GGE while optimistic assumptions produce $1.41/GGE, demonstrating 119% variation from methodology alone.</w:t>
      </w:r>
      <w:r w:rsidRPr="008A7ECE">
        <w:rPr>
          <w:rFonts w:ascii="Times New Roman" w:hAnsi="Times New Roman" w:cs="Times New Roman"/>
        </w:rPr>
        <w:t xml:space="preserve"> </w:t>
      </w:r>
      <w:r w:rsidR="008A7ECE" w:rsidRPr="008A7ECE">
        <w:rPr>
          <w:rFonts w:ascii="Times New Roman" w:hAnsi="Times New Roman" w:cs="Times New Roman"/>
        </w:rPr>
        <w:fldChar w:fldCharType="begin"/>
      </w:r>
      <w:r w:rsidR="008A7ECE" w:rsidRPr="008A7ECE">
        <w:rPr>
          <w:rFonts w:ascii="Times New Roman" w:hAnsi="Times New Roman" w:cs="Times New Roman"/>
        </w:rPr>
        <w:instrText xml:space="preserve"> REF _Ref221137794 \h </w:instrText>
      </w:r>
      <w:r w:rsidR="008A7ECE">
        <w:rPr>
          <w:rFonts w:ascii="Times New Roman" w:hAnsi="Times New Roman" w:cs="Times New Roman"/>
        </w:rPr>
        <w:instrText xml:space="preserve"> \* MERGEFORMAT </w:instrText>
      </w:r>
      <w:r w:rsidR="008A7ECE" w:rsidRPr="008A7ECE">
        <w:rPr>
          <w:rFonts w:ascii="Times New Roman" w:hAnsi="Times New Roman" w:cs="Times New Roman"/>
        </w:rPr>
      </w:r>
      <w:r w:rsidR="008A7ECE" w:rsidRPr="008A7ECE">
        <w:rPr>
          <w:rFonts w:ascii="Times New Roman" w:hAnsi="Times New Roman" w:cs="Times New Roman"/>
        </w:rPr>
        <w:fldChar w:fldCharType="separate"/>
      </w:r>
      <w:r w:rsidR="00C2534E" w:rsidRPr="00C2534E">
        <w:rPr>
          <w:rFonts w:ascii="Times New Roman" w:hAnsi="Times New Roman" w:cs="Times New Roman"/>
        </w:rPr>
        <w:t xml:space="preserve">Figure </w:t>
      </w:r>
      <w:r w:rsidR="00C2534E" w:rsidRPr="00C2534E">
        <w:rPr>
          <w:rFonts w:ascii="Times New Roman" w:hAnsi="Times New Roman" w:cs="Times New Roman"/>
          <w:noProof/>
        </w:rPr>
        <w:t>1</w:t>
      </w:r>
      <w:r w:rsidR="008A7ECE" w:rsidRPr="008A7ECE">
        <w:rPr>
          <w:rFonts w:ascii="Times New Roman" w:hAnsi="Times New Roman" w:cs="Times New Roman"/>
        </w:rPr>
        <w:fldChar w:fldCharType="end"/>
      </w:r>
      <w:r w:rsidRPr="008D77CA">
        <w:rPr>
          <w:rFonts w:ascii="Times New Roman" w:hAnsi="Times New Roman" w:cs="Times New Roman"/>
        </w:rPr>
        <w:t xml:space="preserve"> shows MFSP component breakdown. Orange segments (feedstock) represent $0.94/GGE (41%) in baseline. </w:t>
      </w:r>
      <w:r w:rsidR="005741CB">
        <w:rPr>
          <w:rFonts w:ascii="Times New Roman" w:hAnsi="Times New Roman" w:cs="Times New Roman"/>
        </w:rPr>
        <w:t>C</w:t>
      </w:r>
      <w:r w:rsidRPr="008D77CA">
        <w:rPr>
          <w:rFonts w:ascii="Times New Roman" w:hAnsi="Times New Roman" w:cs="Times New Roman"/>
        </w:rPr>
        <w:t xml:space="preserve">apital recovery </w:t>
      </w:r>
      <w:r w:rsidR="00AE2430" w:rsidRPr="008D77CA">
        <w:rPr>
          <w:rFonts w:ascii="Times New Roman" w:hAnsi="Times New Roman" w:cs="Times New Roman"/>
        </w:rPr>
        <w:t>ranges</w:t>
      </w:r>
      <w:r w:rsidRPr="008D77CA">
        <w:rPr>
          <w:rFonts w:ascii="Times New Roman" w:hAnsi="Times New Roman" w:cs="Times New Roman"/>
        </w:rPr>
        <w:t xml:space="preserve"> from $0.49/GGE at 5% discount to $1.15/GGE at 15% discount. </w:t>
      </w:r>
      <w:r w:rsidR="00810153">
        <w:rPr>
          <w:rFonts w:ascii="Times New Roman" w:hAnsi="Times New Roman" w:cs="Times New Roman"/>
        </w:rPr>
        <w:t>O</w:t>
      </w:r>
      <w:r w:rsidRPr="008D77CA">
        <w:rPr>
          <w:rFonts w:ascii="Times New Roman" w:hAnsi="Times New Roman" w:cs="Times New Roman"/>
        </w:rPr>
        <w:t>perating expenses) remain relatively constant at $0.84/GGE across scenarios.</w:t>
      </w:r>
    </w:p>
    <w:p w14:paraId="0EF22B64" w14:textId="556C8B87" w:rsidR="008D77CA" w:rsidRPr="00F2269D" w:rsidRDefault="00AB3990" w:rsidP="002E0F76">
      <w:pPr>
        <w:keepNext/>
        <w:spacing w:after="0"/>
        <w:jc w:val="center"/>
        <w:rPr>
          <w:rFonts w:ascii="Times New Roman" w:hAnsi="Times New Roman" w:cs="Times New Roman"/>
        </w:rPr>
      </w:pPr>
      <w:r w:rsidRPr="00AB3990">
        <w:rPr>
          <w:rFonts w:ascii="Times New Roman" w:hAnsi="Times New Roman" w:cs="Times New Roman"/>
          <w:noProof/>
        </w:rPr>
        <w:lastRenderedPageBreak/>
        <w:drawing>
          <wp:inline distT="0" distB="0" distL="0" distR="0" wp14:anchorId="4031AC16" wp14:editId="49820049">
            <wp:extent cx="4525108" cy="2819973"/>
            <wp:effectExtent l="0" t="0" r="0" b="0"/>
            <wp:docPr id="8897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4148" name=""/>
                    <pic:cNvPicPr/>
                  </pic:nvPicPr>
                  <pic:blipFill>
                    <a:blip r:embed="rId6"/>
                    <a:stretch>
                      <a:fillRect/>
                    </a:stretch>
                  </pic:blipFill>
                  <pic:spPr>
                    <a:xfrm>
                      <a:off x="0" y="0"/>
                      <a:ext cx="4525800" cy="2820404"/>
                    </a:xfrm>
                    <a:prstGeom prst="rect">
                      <a:avLst/>
                    </a:prstGeom>
                  </pic:spPr>
                </pic:pic>
              </a:graphicData>
            </a:graphic>
          </wp:inline>
        </w:drawing>
      </w:r>
    </w:p>
    <w:p w14:paraId="690C10EC" w14:textId="53CA6A3F" w:rsidR="008D77CA" w:rsidRPr="008D77CA" w:rsidRDefault="008D77CA" w:rsidP="002E0F76">
      <w:pPr>
        <w:pStyle w:val="Caption"/>
        <w:spacing w:after="0"/>
        <w:jc w:val="center"/>
        <w:rPr>
          <w:rFonts w:ascii="Times New Roman" w:hAnsi="Times New Roman" w:cs="Times New Roman"/>
          <w:sz w:val="16"/>
          <w:szCs w:val="16"/>
        </w:rPr>
      </w:pPr>
      <w:bookmarkStart w:id="3" w:name="_Ref221137794"/>
      <w:r w:rsidRPr="00456DCE">
        <w:rPr>
          <w:rFonts w:ascii="Times New Roman" w:hAnsi="Times New Roman" w:cs="Times New Roman"/>
          <w:sz w:val="16"/>
          <w:szCs w:val="16"/>
        </w:rPr>
        <w:t xml:space="preserve">Figure </w:t>
      </w:r>
      <w:r w:rsidRPr="00456DCE">
        <w:rPr>
          <w:rFonts w:ascii="Times New Roman" w:hAnsi="Times New Roman" w:cs="Times New Roman"/>
          <w:sz w:val="16"/>
          <w:szCs w:val="16"/>
        </w:rPr>
        <w:fldChar w:fldCharType="begin"/>
      </w:r>
      <w:r w:rsidRPr="00456DCE">
        <w:rPr>
          <w:rFonts w:ascii="Times New Roman" w:hAnsi="Times New Roman" w:cs="Times New Roman"/>
          <w:sz w:val="16"/>
          <w:szCs w:val="16"/>
        </w:rPr>
        <w:instrText xml:space="preserve"> SEQ Figure \* ARABIC </w:instrText>
      </w:r>
      <w:r w:rsidRPr="00456DCE">
        <w:rPr>
          <w:rFonts w:ascii="Times New Roman" w:hAnsi="Times New Roman" w:cs="Times New Roman"/>
          <w:sz w:val="16"/>
          <w:szCs w:val="16"/>
        </w:rPr>
        <w:fldChar w:fldCharType="separate"/>
      </w:r>
      <w:r w:rsidR="000719C8">
        <w:rPr>
          <w:rFonts w:ascii="Times New Roman" w:hAnsi="Times New Roman" w:cs="Times New Roman"/>
          <w:noProof/>
          <w:sz w:val="16"/>
          <w:szCs w:val="16"/>
        </w:rPr>
        <w:t>2</w:t>
      </w:r>
      <w:r w:rsidRPr="00456DCE">
        <w:rPr>
          <w:rFonts w:ascii="Times New Roman" w:hAnsi="Times New Roman" w:cs="Times New Roman"/>
          <w:sz w:val="16"/>
          <w:szCs w:val="16"/>
        </w:rPr>
        <w:fldChar w:fldCharType="end"/>
      </w:r>
      <w:bookmarkEnd w:id="3"/>
      <w:r w:rsidRPr="00456DCE">
        <w:rPr>
          <w:rFonts w:ascii="Times New Roman" w:hAnsi="Times New Roman" w:cs="Times New Roman"/>
          <w:sz w:val="16"/>
          <w:szCs w:val="16"/>
        </w:rPr>
        <w:t xml:space="preserve">. </w:t>
      </w:r>
      <w:r w:rsidR="002E0F76" w:rsidRPr="002E0F76">
        <w:rPr>
          <w:rFonts w:ascii="Times New Roman" w:hAnsi="Times New Roman" w:cs="Times New Roman"/>
          <w:sz w:val="16"/>
          <w:szCs w:val="16"/>
        </w:rPr>
        <w:t>MFSP component breakdown across fourteen scenarios for the corn stover alcohol-to-jet pathway</w:t>
      </w:r>
    </w:p>
    <w:p w14:paraId="27D860AC" w14:textId="77777777" w:rsid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Life cycle assessment impacts</w:t>
      </w:r>
    </w:p>
    <w:p w14:paraId="3CD145AD" w14:textId="63325C9F" w:rsid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 xml:space="preserve">Allocation method shows strongest effect on GHG emissions. Energy allocation (baseline) yields 24.0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Mass allocation produces 23.8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(1% reduction). Economic allocation yields 23.5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(2% reduction). System expansion produces 21.4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(11% reduction) by crediting displaced petroleum products. ILUC inclusion increases emissions 21% to 29.0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Renewable electricity reduces emissions 6% to 22.6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Combined scenarios range from 10.6 to 29.0 </w:t>
      </w:r>
      <w:proofErr w:type="spellStart"/>
      <w:r w:rsidRPr="008D77CA">
        <w:rPr>
          <w:rFonts w:ascii="Times New Roman" w:hAnsi="Times New Roman" w:cs="Times New Roman"/>
        </w:rPr>
        <w:t>gCO₂e</w:t>
      </w:r>
      <w:proofErr w:type="spellEnd"/>
      <w:r w:rsidRPr="008D77CA">
        <w:rPr>
          <w:rFonts w:ascii="Times New Roman" w:hAnsi="Times New Roman" w:cs="Times New Roman"/>
        </w:rPr>
        <w:t>/MJ, representing 174% variation.</w:t>
      </w:r>
      <w:r>
        <w:rPr>
          <w:rFonts w:ascii="Times New Roman" w:hAnsi="Times New Roman" w:cs="Times New Roman"/>
        </w:rPr>
        <w:t xml:space="preserve"> </w:t>
      </w:r>
      <w:r w:rsidRPr="008D77CA">
        <w:rPr>
          <w:rFonts w:ascii="Times New Roman" w:hAnsi="Times New Roman" w:cs="Times New Roman"/>
        </w:rPr>
        <w:t xml:space="preserve">Figure 2 shows GHG breakdown. Green segments (feedstock production) contribute 15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Red segments (conversion) contribute 9.0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Purple segments (ILUC) add 5.0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when included. All scenarios remain below CORSIA threshold (26.7 </w:t>
      </w:r>
      <w:proofErr w:type="spellStart"/>
      <w:r w:rsidRPr="008D77CA">
        <w:rPr>
          <w:rFonts w:ascii="Times New Roman" w:hAnsi="Times New Roman" w:cs="Times New Roman"/>
        </w:rPr>
        <w:t>gCO₂e</w:t>
      </w:r>
      <w:proofErr w:type="spellEnd"/>
      <w:r w:rsidRPr="008D77CA">
        <w:rPr>
          <w:rFonts w:ascii="Times New Roman" w:hAnsi="Times New Roman" w:cs="Times New Roman"/>
        </w:rPr>
        <w:t>/MJ, 70% reduction from petroleum).</w:t>
      </w:r>
    </w:p>
    <w:p w14:paraId="73D9BA9E" w14:textId="40E886D7" w:rsidR="008D77CA" w:rsidRPr="00F2269D" w:rsidRDefault="00F76027" w:rsidP="00063CF8">
      <w:pPr>
        <w:keepNext/>
        <w:spacing w:after="0" w:line="240" w:lineRule="auto"/>
        <w:jc w:val="center"/>
        <w:rPr>
          <w:rFonts w:ascii="Times New Roman" w:hAnsi="Times New Roman" w:cs="Times New Roman"/>
        </w:rPr>
      </w:pPr>
      <w:r w:rsidRPr="00F76027">
        <w:rPr>
          <w:rFonts w:ascii="Times New Roman" w:hAnsi="Times New Roman" w:cs="Times New Roman"/>
          <w:noProof/>
        </w:rPr>
        <w:drawing>
          <wp:inline distT="0" distB="0" distL="0" distR="0" wp14:anchorId="3389C770" wp14:editId="62092300">
            <wp:extent cx="4654062" cy="2914755"/>
            <wp:effectExtent l="0" t="0" r="0" b="0"/>
            <wp:docPr id="116304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6513" name=""/>
                    <pic:cNvPicPr/>
                  </pic:nvPicPr>
                  <pic:blipFill>
                    <a:blip r:embed="rId7"/>
                    <a:stretch>
                      <a:fillRect/>
                    </a:stretch>
                  </pic:blipFill>
                  <pic:spPr>
                    <a:xfrm>
                      <a:off x="0" y="0"/>
                      <a:ext cx="4654062" cy="2914755"/>
                    </a:xfrm>
                    <a:prstGeom prst="rect">
                      <a:avLst/>
                    </a:prstGeom>
                  </pic:spPr>
                </pic:pic>
              </a:graphicData>
            </a:graphic>
          </wp:inline>
        </w:drawing>
      </w:r>
    </w:p>
    <w:p w14:paraId="740116B2" w14:textId="5DBEB62A" w:rsidR="008D77CA" w:rsidRDefault="008D77CA" w:rsidP="00063CF8">
      <w:pPr>
        <w:pStyle w:val="Caption"/>
        <w:spacing w:after="0"/>
        <w:jc w:val="center"/>
        <w:rPr>
          <w:rFonts w:ascii="Times New Roman" w:hAnsi="Times New Roman" w:cs="Times New Roman"/>
          <w:sz w:val="16"/>
          <w:szCs w:val="16"/>
        </w:rPr>
      </w:pPr>
      <w:r w:rsidRPr="00CC7E17">
        <w:rPr>
          <w:rFonts w:ascii="Times New Roman" w:hAnsi="Times New Roman" w:cs="Times New Roman"/>
          <w:sz w:val="16"/>
          <w:szCs w:val="16"/>
        </w:rPr>
        <w:t xml:space="preserve">Figure </w:t>
      </w:r>
      <w:r w:rsidRPr="00CC7E17">
        <w:rPr>
          <w:rFonts w:ascii="Times New Roman" w:hAnsi="Times New Roman" w:cs="Times New Roman"/>
          <w:sz w:val="16"/>
          <w:szCs w:val="16"/>
        </w:rPr>
        <w:fldChar w:fldCharType="begin"/>
      </w:r>
      <w:r w:rsidRPr="00CC7E17">
        <w:rPr>
          <w:rFonts w:ascii="Times New Roman" w:hAnsi="Times New Roman" w:cs="Times New Roman"/>
          <w:sz w:val="16"/>
          <w:szCs w:val="16"/>
        </w:rPr>
        <w:instrText xml:space="preserve"> SEQ Figure \* ARABIC </w:instrText>
      </w:r>
      <w:r w:rsidRPr="00CC7E17">
        <w:rPr>
          <w:rFonts w:ascii="Times New Roman" w:hAnsi="Times New Roman" w:cs="Times New Roman"/>
          <w:sz w:val="16"/>
          <w:szCs w:val="16"/>
        </w:rPr>
        <w:fldChar w:fldCharType="separate"/>
      </w:r>
      <w:r w:rsidR="000719C8">
        <w:rPr>
          <w:rFonts w:ascii="Times New Roman" w:hAnsi="Times New Roman" w:cs="Times New Roman"/>
          <w:noProof/>
          <w:sz w:val="16"/>
          <w:szCs w:val="16"/>
        </w:rPr>
        <w:t>3</w:t>
      </w:r>
      <w:r w:rsidRPr="00CC7E17">
        <w:rPr>
          <w:rFonts w:ascii="Times New Roman" w:hAnsi="Times New Roman" w:cs="Times New Roman"/>
          <w:sz w:val="16"/>
          <w:szCs w:val="16"/>
        </w:rPr>
        <w:fldChar w:fldCharType="end"/>
      </w:r>
      <w:r w:rsidRPr="00CC7E17">
        <w:rPr>
          <w:rFonts w:ascii="Times New Roman" w:hAnsi="Times New Roman" w:cs="Times New Roman"/>
          <w:sz w:val="16"/>
          <w:szCs w:val="16"/>
        </w:rPr>
        <w:t xml:space="preserve">. </w:t>
      </w:r>
      <w:r w:rsidR="00AD6020" w:rsidRPr="00AD6020">
        <w:rPr>
          <w:rFonts w:ascii="Times New Roman" w:hAnsi="Times New Roman" w:cs="Times New Roman"/>
          <w:sz w:val="16"/>
          <w:szCs w:val="16"/>
        </w:rPr>
        <w:t>Life cycle GHG emissions breakdown across fourteen scenarios for the corn stover alcohol-to-jet pathway</w:t>
      </w:r>
    </w:p>
    <w:p w14:paraId="0BA1B5E3" w14:textId="77777777" w:rsidR="00AD6020" w:rsidRPr="008D77CA" w:rsidRDefault="00AD6020" w:rsidP="00063CF8">
      <w:pPr>
        <w:spacing w:after="0" w:line="240" w:lineRule="auto"/>
      </w:pPr>
    </w:p>
    <w:p w14:paraId="3734B2BF" w14:textId="497FC28D" w:rsidR="0090122B" w:rsidRPr="00804B4F" w:rsidRDefault="00804B4F" w:rsidP="008D77CA">
      <w:pPr>
        <w:spacing w:line="240" w:lineRule="auto"/>
        <w:jc w:val="both"/>
        <w:rPr>
          <w:rFonts w:ascii="Times New Roman" w:hAnsi="Times New Roman" w:cs="Times New Roman"/>
        </w:rPr>
      </w:pPr>
      <w:r w:rsidRPr="00804B4F">
        <w:rPr>
          <w:rFonts w:ascii="Times New Roman" w:hAnsi="Times New Roman" w:cs="Times New Roman"/>
        </w:rPr>
        <w:lastRenderedPageBreak/>
        <w:fldChar w:fldCharType="begin"/>
      </w:r>
      <w:r w:rsidRPr="00804B4F">
        <w:rPr>
          <w:rFonts w:ascii="Times New Roman" w:hAnsi="Times New Roman" w:cs="Times New Roman"/>
        </w:rPr>
        <w:instrText xml:space="preserve"> REF _Ref221173445 \h  \* MERGEFORMAT </w:instrText>
      </w:r>
      <w:r w:rsidRPr="00804B4F">
        <w:rPr>
          <w:rFonts w:ascii="Times New Roman" w:hAnsi="Times New Roman" w:cs="Times New Roman"/>
        </w:rPr>
      </w:r>
      <w:r w:rsidRPr="00804B4F">
        <w:rPr>
          <w:rFonts w:ascii="Times New Roman" w:hAnsi="Times New Roman" w:cs="Times New Roman"/>
        </w:rPr>
        <w:fldChar w:fldCharType="separate"/>
      </w:r>
      <w:r w:rsidRPr="00804B4F">
        <w:rPr>
          <w:rFonts w:ascii="Times New Roman" w:hAnsi="Times New Roman" w:cs="Times New Roman"/>
        </w:rPr>
        <w:t xml:space="preserve">Figure </w:t>
      </w:r>
      <w:r w:rsidRPr="00804B4F">
        <w:rPr>
          <w:rFonts w:ascii="Times New Roman" w:hAnsi="Times New Roman" w:cs="Times New Roman"/>
          <w:noProof/>
        </w:rPr>
        <w:t>4</w:t>
      </w:r>
      <w:r w:rsidRPr="00804B4F">
        <w:rPr>
          <w:rFonts w:ascii="Times New Roman" w:hAnsi="Times New Roman" w:cs="Times New Roman"/>
        </w:rPr>
        <w:fldChar w:fldCharType="end"/>
      </w:r>
      <w:r w:rsidR="0090122B" w:rsidRPr="00804B4F">
        <w:rPr>
          <w:rFonts w:ascii="Times New Roman" w:hAnsi="Times New Roman" w:cs="Times New Roman"/>
        </w:rPr>
        <w:t xml:space="preserve"> summarizes parameter sensitivity rankings. For costs, feedstock cost and system boundaries dominate variation (64% and 41% respectively), followed by discount rate (39%). Allocation methods and capacity factor show moderate effects (5-11%). For emissions, ILUC inclusion produces the largest impact (21%), followed by allocation method choice (11%) and renewable electricity substitution (6%). System boundaries and economic assumptions show minimal direct effects on emissions (</w:t>
      </w:r>
      <w:r w:rsidRPr="00804B4F">
        <w:rPr>
          <w:rFonts w:ascii="Times New Roman" w:hAnsi="Times New Roman" w:cs="Times New Roman"/>
        </w:rPr>
        <w:fldChar w:fldCharType="begin"/>
      </w:r>
      <w:r w:rsidRPr="00804B4F">
        <w:rPr>
          <w:rFonts w:ascii="Times New Roman" w:hAnsi="Times New Roman" w:cs="Times New Roman"/>
        </w:rPr>
        <w:instrText xml:space="preserve"> REF _Ref221173445 \h  \* MERGEFORMAT </w:instrText>
      </w:r>
      <w:r w:rsidRPr="00804B4F">
        <w:rPr>
          <w:rFonts w:ascii="Times New Roman" w:hAnsi="Times New Roman" w:cs="Times New Roman"/>
        </w:rPr>
      </w:r>
      <w:r w:rsidRPr="00804B4F">
        <w:rPr>
          <w:rFonts w:ascii="Times New Roman" w:hAnsi="Times New Roman" w:cs="Times New Roman"/>
        </w:rPr>
        <w:fldChar w:fldCharType="separate"/>
      </w:r>
      <w:r w:rsidRPr="00804B4F">
        <w:rPr>
          <w:rFonts w:ascii="Times New Roman" w:hAnsi="Times New Roman" w:cs="Times New Roman"/>
        </w:rPr>
        <w:t xml:space="preserve">Figure </w:t>
      </w:r>
      <w:r w:rsidRPr="00804B4F">
        <w:rPr>
          <w:rFonts w:ascii="Times New Roman" w:hAnsi="Times New Roman" w:cs="Times New Roman"/>
          <w:noProof/>
        </w:rPr>
        <w:t>4</w:t>
      </w:r>
      <w:r w:rsidRPr="00804B4F">
        <w:rPr>
          <w:rFonts w:ascii="Times New Roman" w:hAnsi="Times New Roman" w:cs="Times New Roman"/>
        </w:rPr>
        <w:fldChar w:fldCharType="end"/>
      </w:r>
      <w:r w:rsidRPr="00804B4F">
        <w:rPr>
          <w:rFonts w:ascii="Times New Roman" w:hAnsi="Times New Roman" w:cs="Times New Roman"/>
        </w:rPr>
        <w:t xml:space="preserve"> </w:t>
      </w:r>
      <w:proofErr w:type="spellStart"/>
      <w:proofErr w:type="gramStart"/>
      <w:r w:rsidR="0090122B" w:rsidRPr="00804B4F">
        <w:rPr>
          <w:rFonts w:ascii="Times New Roman" w:hAnsi="Times New Roman" w:cs="Times New Roman"/>
        </w:rPr>
        <w:t>a,b</w:t>
      </w:r>
      <w:proofErr w:type="spellEnd"/>
      <w:proofErr w:type="gramEnd"/>
      <w:r w:rsidR="0090122B" w:rsidRPr="00804B4F">
        <w:rPr>
          <w:rFonts w:ascii="Times New Roman" w:hAnsi="Times New Roman" w:cs="Times New Roman"/>
        </w:rPr>
        <w:t>).</w:t>
      </w:r>
    </w:p>
    <w:p w14:paraId="53B90871" w14:textId="77777777" w:rsidR="000719C8" w:rsidRDefault="006217B5" w:rsidP="000719C8">
      <w:pPr>
        <w:keepNext/>
        <w:spacing w:line="240" w:lineRule="auto"/>
        <w:jc w:val="center"/>
      </w:pPr>
      <w:r w:rsidRPr="006217B5">
        <w:rPr>
          <w:rFonts w:ascii="Times New Roman" w:hAnsi="Times New Roman" w:cs="Times New Roman"/>
          <w:noProof/>
        </w:rPr>
        <w:drawing>
          <wp:inline distT="0" distB="0" distL="0" distR="0" wp14:anchorId="6B53D85F" wp14:editId="2EE15263">
            <wp:extent cx="4876578" cy="2870200"/>
            <wp:effectExtent l="0" t="0" r="635" b="6350"/>
            <wp:docPr id="73766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6209" name=""/>
                    <pic:cNvPicPr/>
                  </pic:nvPicPr>
                  <pic:blipFill>
                    <a:blip r:embed="rId8"/>
                    <a:stretch>
                      <a:fillRect/>
                    </a:stretch>
                  </pic:blipFill>
                  <pic:spPr>
                    <a:xfrm>
                      <a:off x="0" y="0"/>
                      <a:ext cx="4877289" cy="2870618"/>
                    </a:xfrm>
                    <a:prstGeom prst="rect">
                      <a:avLst/>
                    </a:prstGeom>
                  </pic:spPr>
                </pic:pic>
              </a:graphicData>
            </a:graphic>
          </wp:inline>
        </w:drawing>
      </w:r>
    </w:p>
    <w:p w14:paraId="27029854" w14:textId="10AB0FEB" w:rsidR="0090122B" w:rsidRPr="002C6631" w:rsidRDefault="000719C8" w:rsidP="002C6631">
      <w:pPr>
        <w:pStyle w:val="Caption"/>
        <w:jc w:val="both"/>
        <w:rPr>
          <w:rFonts w:ascii="Times New Roman" w:hAnsi="Times New Roman" w:cs="Times New Roman"/>
          <w:sz w:val="16"/>
          <w:szCs w:val="16"/>
        </w:rPr>
      </w:pPr>
      <w:bookmarkStart w:id="4" w:name="_Ref221173445"/>
      <w:r w:rsidRPr="002C6631">
        <w:rPr>
          <w:sz w:val="16"/>
          <w:szCs w:val="16"/>
        </w:rPr>
        <w:t xml:space="preserve">Figure </w:t>
      </w:r>
      <w:r w:rsidRPr="002C6631">
        <w:rPr>
          <w:sz w:val="16"/>
          <w:szCs w:val="16"/>
        </w:rPr>
        <w:fldChar w:fldCharType="begin"/>
      </w:r>
      <w:r w:rsidRPr="002C6631">
        <w:rPr>
          <w:sz w:val="16"/>
          <w:szCs w:val="16"/>
        </w:rPr>
        <w:instrText xml:space="preserve"> SEQ Figure \* ARABIC </w:instrText>
      </w:r>
      <w:r w:rsidRPr="002C6631">
        <w:rPr>
          <w:sz w:val="16"/>
          <w:szCs w:val="16"/>
        </w:rPr>
        <w:fldChar w:fldCharType="separate"/>
      </w:r>
      <w:r w:rsidRPr="002C6631">
        <w:rPr>
          <w:noProof/>
          <w:sz w:val="16"/>
          <w:szCs w:val="16"/>
        </w:rPr>
        <w:t>4</w:t>
      </w:r>
      <w:r w:rsidRPr="002C6631">
        <w:rPr>
          <w:sz w:val="16"/>
          <w:szCs w:val="16"/>
        </w:rPr>
        <w:fldChar w:fldCharType="end"/>
      </w:r>
      <w:bookmarkEnd w:id="4"/>
      <w:r w:rsidRPr="002C6631">
        <w:rPr>
          <w:sz w:val="16"/>
          <w:szCs w:val="16"/>
        </w:rPr>
        <w:t xml:space="preserve">. Parameter sensitivity ranking for SAF assessment outcomes. </w:t>
      </w:r>
      <w:proofErr w:type="gramStart"/>
      <w:r w:rsidRPr="002C6631">
        <w:rPr>
          <w:sz w:val="16"/>
          <w:szCs w:val="16"/>
        </w:rPr>
        <w:t>a,</w:t>
      </w:r>
      <w:proofErr w:type="gramEnd"/>
      <w:r w:rsidRPr="002C6631">
        <w:rPr>
          <w:sz w:val="16"/>
          <w:szCs w:val="16"/>
        </w:rPr>
        <w:t xml:space="preserve"> Minimum fuel selling price sensitivity showing feedstock cost (±64% range) and system boundaries (±41% range) as dominant drivers, followed by discount rate (±39%). Blue bars indicate cost reductions; orange bars indicate cost increases relative to baseline. b, Greenhouse gas emissions sensitivity showing ILUC inclusion (+21%) and allocation method choice (±11%) as primary drivers. Parameters ordered by total variation range within each panel.</w:t>
      </w:r>
    </w:p>
    <w:p w14:paraId="68D09296" w14:textId="3E25477F"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Comparison to Technology Variation</w:t>
      </w:r>
    </w:p>
    <w:p w14:paraId="40B6DCDE" w14:textId="325F1AC4" w:rsidR="0041030C" w:rsidRPr="005A0F5E" w:rsidRDefault="0041030C" w:rsidP="0041030C">
      <w:pPr>
        <w:spacing w:line="240" w:lineRule="auto"/>
        <w:jc w:val="both"/>
        <w:rPr>
          <w:rFonts w:ascii="Times New Roman" w:hAnsi="Times New Roman" w:cs="Times New Roman"/>
        </w:rPr>
      </w:pPr>
      <w:r w:rsidRPr="006429B1">
        <w:rPr>
          <w:rFonts w:ascii="Times New Roman" w:hAnsi="Times New Roman" w:cs="Times New Roman"/>
        </w:rPr>
        <w:t>Literature review reveals genuine technology differences under consistent methodology. HEFA pathways range 20-40% in cost and 15-25% in emissions. FT pathways show 25-35% cost variation and 20-30% emissions variation. ATJ pathways show 30-45% cost variation and 18-28% emissions variation.</w:t>
      </w:r>
      <w:r w:rsidRPr="005A0F5E">
        <w:rPr>
          <w:rFonts w:ascii="Times New Roman" w:hAnsi="Times New Roman" w:cs="Times New Roman"/>
        </w:rPr>
        <w:t xml:space="preserve"> </w:t>
      </w:r>
      <w:r w:rsidRPr="006429B1">
        <w:rPr>
          <w:rFonts w:ascii="Times New Roman" w:hAnsi="Times New Roman" w:cs="Times New Roman"/>
        </w:rPr>
        <w:t>Methodological variation (133% for costs, 119% for emissions) exceeds genuine technology variation by factors of 3-8 (</w:t>
      </w:r>
      <w:r w:rsidR="005A0F5E" w:rsidRPr="005A0F5E">
        <w:rPr>
          <w:rFonts w:ascii="Times New Roman" w:hAnsi="Times New Roman" w:cs="Times New Roman"/>
        </w:rPr>
        <w:fldChar w:fldCharType="begin"/>
      </w:r>
      <w:r w:rsidR="005A0F5E" w:rsidRPr="005A0F5E">
        <w:rPr>
          <w:rFonts w:ascii="Times New Roman" w:hAnsi="Times New Roman" w:cs="Times New Roman"/>
        </w:rPr>
        <w:instrText xml:space="preserve"> REF _Ref221138053 \h  \* MERGEFORMAT </w:instrText>
      </w:r>
      <w:r w:rsidR="005A0F5E" w:rsidRPr="005A0F5E">
        <w:rPr>
          <w:rFonts w:ascii="Times New Roman" w:hAnsi="Times New Roman" w:cs="Times New Roman"/>
        </w:rPr>
      </w:r>
      <w:r w:rsidR="005A0F5E" w:rsidRPr="005A0F5E">
        <w:rPr>
          <w:rFonts w:ascii="Times New Roman" w:hAnsi="Times New Roman" w:cs="Times New Roman"/>
        </w:rPr>
        <w:fldChar w:fldCharType="separate"/>
      </w:r>
      <w:r w:rsidR="00C2534E" w:rsidRPr="0041030C">
        <w:rPr>
          <w:rFonts w:ascii="Times New Roman" w:hAnsi="Times New Roman" w:cs="Times New Roman"/>
        </w:rPr>
        <w:t xml:space="preserve">Figure </w:t>
      </w:r>
      <w:r w:rsidR="00C2534E">
        <w:rPr>
          <w:rFonts w:ascii="Times New Roman" w:hAnsi="Times New Roman" w:cs="Times New Roman"/>
          <w:noProof/>
        </w:rPr>
        <w:t>3</w:t>
      </w:r>
      <w:r w:rsidR="005A0F5E" w:rsidRPr="005A0F5E">
        <w:rPr>
          <w:rFonts w:ascii="Times New Roman" w:hAnsi="Times New Roman" w:cs="Times New Roman"/>
        </w:rPr>
        <w:fldChar w:fldCharType="end"/>
      </w:r>
      <w:r w:rsidRPr="006429B1">
        <w:rPr>
          <w:rFonts w:ascii="Times New Roman" w:hAnsi="Times New Roman" w:cs="Times New Roman"/>
        </w:rPr>
        <w:t>). This demonstrates that current assessment practices obscure actual performance differences. Ranking pathways based on literature values without harmonization compares methodological artifacts rather than technology performance. For costs, methodological choices create 3-8 times larger variation than technology differences across all three major pathways (</w:t>
      </w:r>
      <w:r w:rsidR="005A0F5E" w:rsidRPr="005A0F5E">
        <w:rPr>
          <w:rFonts w:ascii="Times New Roman" w:hAnsi="Times New Roman" w:cs="Times New Roman"/>
        </w:rPr>
        <w:fldChar w:fldCharType="begin"/>
      </w:r>
      <w:r w:rsidR="005A0F5E" w:rsidRPr="005A0F5E">
        <w:rPr>
          <w:rFonts w:ascii="Times New Roman" w:hAnsi="Times New Roman" w:cs="Times New Roman"/>
        </w:rPr>
        <w:instrText xml:space="preserve"> REF _Ref221138053 \h  \* MERGEFORMAT </w:instrText>
      </w:r>
      <w:r w:rsidR="005A0F5E" w:rsidRPr="005A0F5E">
        <w:rPr>
          <w:rFonts w:ascii="Times New Roman" w:hAnsi="Times New Roman" w:cs="Times New Roman"/>
        </w:rPr>
      </w:r>
      <w:r w:rsidR="005A0F5E" w:rsidRPr="005A0F5E">
        <w:rPr>
          <w:rFonts w:ascii="Times New Roman" w:hAnsi="Times New Roman" w:cs="Times New Roman"/>
        </w:rPr>
        <w:fldChar w:fldCharType="separate"/>
      </w:r>
      <w:r w:rsidR="00C2534E" w:rsidRPr="0041030C">
        <w:rPr>
          <w:rFonts w:ascii="Times New Roman" w:hAnsi="Times New Roman" w:cs="Times New Roman"/>
        </w:rPr>
        <w:t xml:space="preserve">Figure </w:t>
      </w:r>
      <w:r w:rsidR="00C2534E">
        <w:rPr>
          <w:rFonts w:ascii="Times New Roman" w:hAnsi="Times New Roman" w:cs="Times New Roman"/>
          <w:noProof/>
        </w:rPr>
        <w:t>3</w:t>
      </w:r>
      <w:r w:rsidR="005A0F5E" w:rsidRPr="005A0F5E">
        <w:rPr>
          <w:rFonts w:ascii="Times New Roman" w:hAnsi="Times New Roman" w:cs="Times New Roman"/>
        </w:rPr>
        <w:fldChar w:fldCharType="end"/>
      </w:r>
      <w:r w:rsidRPr="006429B1">
        <w:rPr>
          <w:rFonts w:ascii="Times New Roman" w:hAnsi="Times New Roman" w:cs="Times New Roman"/>
        </w:rPr>
        <w:t>a). For emissions, methodology creates 4-6 times larger variation than genuine pathway performance (</w:t>
      </w:r>
      <w:r w:rsidR="005A0F5E" w:rsidRPr="005A0F5E">
        <w:rPr>
          <w:rFonts w:ascii="Times New Roman" w:hAnsi="Times New Roman" w:cs="Times New Roman"/>
        </w:rPr>
        <w:fldChar w:fldCharType="begin"/>
      </w:r>
      <w:r w:rsidR="005A0F5E" w:rsidRPr="005A0F5E">
        <w:rPr>
          <w:rFonts w:ascii="Times New Roman" w:hAnsi="Times New Roman" w:cs="Times New Roman"/>
        </w:rPr>
        <w:instrText xml:space="preserve"> REF _Ref221138053 \h  \* MERGEFORMAT </w:instrText>
      </w:r>
      <w:r w:rsidR="005A0F5E" w:rsidRPr="005A0F5E">
        <w:rPr>
          <w:rFonts w:ascii="Times New Roman" w:hAnsi="Times New Roman" w:cs="Times New Roman"/>
        </w:rPr>
      </w:r>
      <w:r w:rsidR="005A0F5E" w:rsidRPr="005A0F5E">
        <w:rPr>
          <w:rFonts w:ascii="Times New Roman" w:hAnsi="Times New Roman" w:cs="Times New Roman"/>
        </w:rPr>
        <w:fldChar w:fldCharType="separate"/>
      </w:r>
      <w:r w:rsidR="00C2534E" w:rsidRPr="0041030C">
        <w:rPr>
          <w:rFonts w:ascii="Times New Roman" w:hAnsi="Times New Roman" w:cs="Times New Roman"/>
        </w:rPr>
        <w:t xml:space="preserve">Figure </w:t>
      </w:r>
      <w:r w:rsidR="00C2534E">
        <w:rPr>
          <w:rFonts w:ascii="Times New Roman" w:hAnsi="Times New Roman" w:cs="Times New Roman"/>
          <w:noProof/>
        </w:rPr>
        <w:t>3</w:t>
      </w:r>
      <w:r w:rsidR="005A0F5E" w:rsidRPr="005A0F5E">
        <w:rPr>
          <w:rFonts w:ascii="Times New Roman" w:hAnsi="Times New Roman" w:cs="Times New Roman"/>
        </w:rPr>
        <w:fldChar w:fldCharType="end"/>
      </w:r>
      <w:r w:rsidRPr="006429B1">
        <w:rPr>
          <w:rFonts w:ascii="Times New Roman" w:hAnsi="Times New Roman" w:cs="Times New Roman"/>
        </w:rPr>
        <w:t>b).</w:t>
      </w:r>
    </w:p>
    <w:p w14:paraId="4128D692" w14:textId="77777777" w:rsidR="0041030C" w:rsidRDefault="0041030C" w:rsidP="0041030C">
      <w:pPr>
        <w:keepNext/>
        <w:spacing w:line="240" w:lineRule="auto"/>
        <w:jc w:val="center"/>
      </w:pPr>
      <w:r w:rsidRPr="00735141">
        <w:rPr>
          <w:rFonts w:ascii="Times New Roman" w:hAnsi="Times New Roman" w:cs="Times New Roman"/>
          <w:noProof/>
        </w:rPr>
        <w:lastRenderedPageBreak/>
        <w:drawing>
          <wp:inline distT="0" distB="0" distL="0" distR="0" wp14:anchorId="442B736C" wp14:editId="51F7D6BE">
            <wp:extent cx="5103916" cy="2409092"/>
            <wp:effectExtent l="0" t="0" r="1905" b="0"/>
            <wp:docPr id="108222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3859" name=""/>
                    <pic:cNvPicPr/>
                  </pic:nvPicPr>
                  <pic:blipFill>
                    <a:blip r:embed="rId9"/>
                    <a:stretch>
                      <a:fillRect/>
                    </a:stretch>
                  </pic:blipFill>
                  <pic:spPr>
                    <a:xfrm>
                      <a:off x="0" y="0"/>
                      <a:ext cx="5103916" cy="2409092"/>
                    </a:xfrm>
                    <a:prstGeom prst="rect">
                      <a:avLst/>
                    </a:prstGeom>
                  </pic:spPr>
                </pic:pic>
              </a:graphicData>
            </a:graphic>
          </wp:inline>
        </w:drawing>
      </w:r>
    </w:p>
    <w:p w14:paraId="712E74FD" w14:textId="22BB6173" w:rsidR="0041030C" w:rsidRDefault="0041030C" w:rsidP="0041030C">
      <w:pPr>
        <w:pStyle w:val="Caption"/>
        <w:spacing w:after="0"/>
        <w:jc w:val="both"/>
        <w:rPr>
          <w:rFonts w:ascii="Times New Roman" w:hAnsi="Times New Roman" w:cs="Times New Roman"/>
        </w:rPr>
      </w:pPr>
      <w:bookmarkStart w:id="5" w:name="_Ref221138053"/>
      <w:r w:rsidRPr="0041030C">
        <w:rPr>
          <w:rFonts w:ascii="Times New Roman" w:hAnsi="Times New Roman" w:cs="Times New Roman"/>
        </w:rPr>
        <w:t xml:space="preserve">Figure </w:t>
      </w:r>
      <w:r w:rsidRPr="0041030C">
        <w:rPr>
          <w:rFonts w:ascii="Times New Roman" w:hAnsi="Times New Roman" w:cs="Times New Roman"/>
        </w:rPr>
        <w:fldChar w:fldCharType="begin"/>
      </w:r>
      <w:r w:rsidRPr="0041030C">
        <w:rPr>
          <w:rFonts w:ascii="Times New Roman" w:hAnsi="Times New Roman" w:cs="Times New Roman"/>
        </w:rPr>
        <w:instrText xml:space="preserve"> SEQ Figure \* ARABIC </w:instrText>
      </w:r>
      <w:r w:rsidRPr="0041030C">
        <w:rPr>
          <w:rFonts w:ascii="Times New Roman" w:hAnsi="Times New Roman" w:cs="Times New Roman"/>
        </w:rPr>
        <w:fldChar w:fldCharType="separate"/>
      </w:r>
      <w:r w:rsidR="000719C8">
        <w:rPr>
          <w:rFonts w:ascii="Times New Roman" w:hAnsi="Times New Roman" w:cs="Times New Roman"/>
          <w:noProof/>
        </w:rPr>
        <w:t>5</w:t>
      </w:r>
      <w:r w:rsidRPr="0041030C">
        <w:rPr>
          <w:rFonts w:ascii="Times New Roman" w:hAnsi="Times New Roman" w:cs="Times New Roman"/>
        </w:rPr>
        <w:fldChar w:fldCharType="end"/>
      </w:r>
      <w:bookmarkEnd w:id="5"/>
      <w:r w:rsidRPr="0041030C">
        <w:rPr>
          <w:rFonts w:ascii="Times New Roman" w:hAnsi="Times New Roman" w:cs="Times New Roman"/>
        </w:rPr>
        <w:t xml:space="preserve">.  Methodological variation exceeds technology differences by 3-8 times. </w:t>
      </w:r>
      <w:proofErr w:type="gramStart"/>
      <w:r w:rsidRPr="0041030C">
        <w:rPr>
          <w:rFonts w:ascii="Times New Roman" w:hAnsi="Times New Roman" w:cs="Times New Roman"/>
        </w:rPr>
        <w:t>a,</w:t>
      </w:r>
      <w:proofErr w:type="gramEnd"/>
      <w:r w:rsidRPr="0041030C">
        <w:rPr>
          <w:rFonts w:ascii="Times New Roman" w:hAnsi="Times New Roman" w:cs="Times New Roman"/>
        </w:rPr>
        <w:t xml:space="preserve"> Minimum fuel selling price variation from methodology (132%, red) versus genuine technology differences (20-45%, gray) for HEFA, Fischer-Tropsch, and alcohol-to-jet pathways. b, Greenhouse gas variation shows similar pattern (119% methodology versus 15-30% technology). Red bars show 14 scenarios for identical corn stover system. Gray bars show literature ranges under consistent methods. Error bars indicate pathway-specific variation ranges.</w:t>
      </w:r>
    </w:p>
    <w:p w14:paraId="231AA5DC" w14:textId="77777777" w:rsidR="0041030C" w:rsidRPr="008D77CA" w:rsidRDefault="0041030C" w:rsidP="0041030C">
      <w:pPr>
        <w:spacing w:after="0" w:line="240" w:lineRule="auto"/>
      </w:pPr>
    </w:p>
    <w:p w14:paraId="6668EA21"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Framework Validation</w:t>
      </w:r>
    </w:p>
    <w:p w14:paraId="060E35DE" w14:textId="131BFD82" w:rsidR="00AA6AC9" w:rsidRPr="00023889" w:rsidRDefault="00AA6AC9" w:rsidP="00971417">
      <w:pPr>
        <w:spacing w:after="0" w:line="240" w:lineRule="auto"/>
        <w:jc w:val="both"/>
        <w:rPr>
          <w:rFonts w:ascii="Times New Roman" w:hAnsi="Times New Roman" w:cs="Times New Roman"/>
        </w:rPr>
      </w:pPr>
      <w:r w:rsidRPr="00AA6AC9">
        <w:rPr>
          <w:rFonts w:ascii="Times New Roman" w:hAnsi="Times New Roman" w:cs="Times New Roman"/>
        </w:rPr>
        <w:t xml:space="preserve">We developed a three-tier harmonization framework addressing six inconsistency </w:t>
      </w:r>
      <w:r w:rsidR="00C300C7" w:rsidRPr="00AA6AC9">
        <w:rPr>
          <w:rFonts w:ascii="Times New Roman" w:hAnsi="Times New Roman" w:cs="Times New Roman"/>
        </w:rPr>
        <w:t>sources</w:t>
      </w:r>
      <w:r w:rsidR="00C300C7">
        <w:rPr>
          <w:rFonts w:ascii="Times New Roman" w:hAnsi="Times New Roman" w:cs="Times New Roman"/>
        </w:rPr>
        <w:t>:</w:t>
      </w:r>
      <w:r w:rsidR="00144764">
        <w:rPr>
          <w:rFonts w:ascii="Times New Roman" w:hAnsi="Times New Roman" w:cs="Times New Roman"/>
        </w:rPr>
        <w:t xml:space="preserve"> </w:t>
      </w:r>
      <w:r w:rsidRPr="00AA6AC9">
        <w:rPr>
          <w:rFonts w:ascii="Times New Roman" w:hAnsi="Times New Roman" w:cs="Times New Roman"/>
        </w:rPr>
        <w:t xml:space="preserve">functional units, system boundaries, economic assumptions, allocation methods, background data, and uncertainty treatment. </w:t>
      </w:r>
      <w:r w:rsidR="00023889" w:rsidRPr="00023889">
        <w:rPr>
          <w:rFonts w:ascii="Times New Roman" w:hAnsi="Times New Roman" w:cs="Times New Roman"/>
        </w:rPr>
        <w:fldChar w:fldCharType="begin"/>
      </w:r>
      <w:r w:rsidR="00023889" w:rsidRPr="00023889">
        <w:rPr>
          <w:rFonts w:ascii="Times New Roman" w:hAnsi="Times New Roman" w:cs="Times New Roman"/>
        </w:rPr>
        <w:instrText xml:space="preserve"> REF _Ref221139667 \h </w:instrText>
      </w:r>
      <w:r w:rsidR="00023889">
        <w:rPr>
          <w:rFonts w:ascii="Times New Roman" w:hAnsi="Times New Roman" w:cs="Times New Roman"/>
        </w:rPr>
        <w:instrText xml:space="preserve"> \* MERGEFORMAT </w:instrText>
      </w:r>
      <w:r w:rsidR="00023889" w:rsidRPr="00023889">
        <w:rPr>
          <w:rFonts w:ascii="Times New Roman" w:hAnsi="Times New Roman" w:cs="Times New Roman"/>
        </w:rPr>
      </w:r>
      <w:r w:rsidR="00023889" w:rsidRPr="00023889">
        <w:rPr>
          <w:rFonts w:ascii="Times New Roman" w:hAnsi="Times New Roman" w:cs="Times New Roman"/>
        </w:rPr>
        <w:fldChar w:fldCharType="separate"/>
      </w:r>
      <w:r w:rsidR="00C2534E" w:rsidRPr="00C2534E">
        <w:rPr>
          <w:rFonts w:ascii="Times New Roman" w:hAnsi="Times New Roman" w:cs="Times New Roman"/>
        </w:rPr>
        <w:t xml:space="preserve">Table </w:t>
      </w:r>
      <w:r w:rsidR="00C2534E">
        <w:rPr>
          <w:rFonts w:ascii="Times New Roman" w:hAnsi="Times New Roman" w:cs="Times New Roman"/>
          <w:noProof/>
        </w:rPr>
        <w:t>1</w:t>
      </w:r>
      <w:r w:rsidR="00023889" w:rsidRPr="00023889">
        <w:rPr>
          <w:rFonts w:ascii="Times New Roman" w:hAnsi="Times New Roman" w:cs="Times New Roman"/>
        </w:rPr>
        <w:fldChar w:fldCharType="end"/>
      </w:r>
      <w:r w:rsidR="00023889" w:rsidRPr="00023889">
        <w:rPr>
          <w:rFonts w:ascii="Times New Roman" w:hAnsi="Times New Roman" w:cs="Times New Roman"/>
        </w:rPr>
        <w:t xml:space="preserve"> </w:t>
      </w:r>
      <w:r w:rsidRPr="00AA6AC9">
        <w:rPr>
          <w:rFonts w:ascii="Times New Roman" w:hAnsi="Times New Roman" w:cs="Times New Roman"/>
        </w:rPr>
        <w:t>specifies requirements for each tier. Tier 1 requires transparency (disclosed methods). Tier 2 enables comparison (standardized methods). Tier 3 supports policy (comprehensive analysis with uncertainty).</w:t>
      </w:r>
    </w:p>
    <w:p w14:paraId="21425843" w14:textId="77777777" w:rsidR="00D20863" w:rsidRPr="008D77CA" w:rsidRDefault="00D20863" w:rsidP="00971417">
      <w:pPr>
        <w:spacing w:after="0" w:line="240" w:lineRule="auto"/>
        <w:jc w:val="both"/>
        <w:rPr>
          <w:rFonts w:ascii="Times New Roman" w:hAnsi="Times New Roman" w:cs="Times New Roman"/>
        </w:rPr>
      </w:pPr>
    </w:p>
    <w:p w14:paraId="0A96B5B8" w14:textId="015D7F9E" w:rsidR="008D77CA" w:rsidRPr="00F2269D" w:rsidRDefault="008D77CA" w:rsidP="008D77CA">
      <w:pPr>
        <w:pStyle w:val="Caption"/>
        <w:keepNext/>
        <w:rPr>
          <w:rFonts w:ascii="Times New Roman" w:hAnsi="Times New Roman" w:cs="Times New Roman"/>
        </w:rPr>
      </w:pPr>
      <w:bookmarkStart w:id="6" w:name="_Ref221137656"/>
      <w:r w:rsidRPr="00F2269D">
        <w:rPr>
          <w:rFonts w:ascii="Times New Roman" w:hAnsi="Times New Roman" w:cs="Times New Roman"/>
        </w:rPr>
        <w:t xml:space="preserve">Table </w:t>
      </w:r>
      <w:r w:rsidRPr="00F2269D">
        <w:rPr>
          <w:rFonts w:ascii="Times New Roman" w:hAnsi="Times New Roman" w:cs="Times New Roman"/>
        </w:rPr>
        <w:fldChar w:fldCharType="begin"/>
      </w:r>
      <w:r w:rsidRPr="00F2269D">
        <w:rPr>
          <w:rFonts w:ascii="Times New Roman" w:hAnsi="Times New Roman" w:cs="Times New Roman"/>
        </w:rPr>
        <w:instrText xml:space="preserve"> SEQ Table \* ARABIC </w:instrText>
      </w:r>
      <w:r w:rsidRPr="00F2269D">
        <w:rPr>
          <w:rFonts w:ascii="Times New Roman" w:hAnsi="Times New Roman" w:cs="Times New Roman"/>
        </w:rPr>
        <w:fldChar w:fldCharType="separate"/>
      </w:r>
      <w:r w:rsidR="00D008F1">
        <w:rPr>
          <w:rFonts w:ascii="Times New Roman" w:hAnsi="Times New Roman" w:cs="Times New Roman"/>
          <w:noProof/>
        </w:rPr>
        <w:t>3</w:t>
      </w:r>
      <w:r w:rsidRPr="00F2269D">
        <w:rPr>
          <w:rFonts w:ascii="Times New Roman" w:hAnsi="Times New Roman" w:cs="Times New Roman"/>
        </w:rPr>
        <w:fldChar w:fldCharType="end"/>
      </w:r>
      <w:r w:rsidRPr="00F2269D">
        <w:rPr>
          <w:rFonts w:ascii="Times New Roman" w:hAnsi="Times New Roman" w:cs="Times New Roman"/>
        </w:rPr>
        <w:t>. Three-tier harmonization framework for sustainable aviation fuel assessment</w:t>
      </w:r>
      <w:bookmarkEnd w:id="6"/>
    </w:p>
    <w:tbl>
      <w:tblPr>
        <w:tblStyle w:val="TableGrid"/>
        <w:tblW w:w="0" w:type="auto"/>
        <w:tblLook w:val="04A0" w:firstRow="1" w:lastRow="0" w:firstColumn="1" w:lastColumn="0" w:noHBand="0" w:noVBand="1"/>
      </w:tblPr>
      <w:tblGrid>
        <w:gridCol w:w="2070"/>
        <w:gridCol w:w="1775"/>
        <w:gridCol w:w="1819"/>
        <w:gridCol w:w="1716"/>
        <w:gridCol w:w="1970"/>
      </w:tblGrid>
      <w:tr w:rsidR="008D77CA" w:rsidRPr="00F2269D" w14:paraId="41E30723" w14:textId="77777777" w:rsidTr="000A6D07">
        <w:tc>
          <w:tcPr>
            <w:tcW w:w="0" w:type="auto"/>
            <w:hideMark/>
          </w:tcPr>
          <w:p w14:paraId="52C61046"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Category</w:t>
            </w:r>
          </w:p>
        </w:tc>
        <w:tc>
          <w:tcPr>
            <w:tcW w:w="0" w:type="auto"/>
            <w:hideMark/>
          </w:tcPr>
          <w:p w14:paraId="136B2702"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Requirement</w:t>
            </w:r>
          </w:p>
        </w:tc>
        <w:tc>
          <w:tcPr>
            <w:tcW w:w="0" w:type="auto"/>
            <w:hideMark/>
          </w:tcPr>
          <w:p w14:paraId="10C44428"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Tier 1: Transparency</w:t>
            </w:r>
          </w:p>
        </w:tc>
        <w:tc>
          <w:tcPr>
            <w:tcW w:w="0" w:type="auto"/>
            <w:hideMark/>
          </w:tcPr>
          <w:p w14:paraId="5477707F"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Tier 2: Comparison</w:t>
            </w:r>
          </w:p>
        </w:tc>
        <w:tc>
          <w:tcPr>
            <w:tcW w:w="0" w:type="auto"/>
            <w:hideMark/>
          </w:tcPr>
          <w:p w14:paraId="05239A4C" w14:textId="77777777" w:rsidR="008D77CA" w:rsidRPr="00F2269D" w:rsidRDefault="008D77CA" w:rsidP="000A6D07">
            <w:pPr>
              <w:jc w:val="both"/>
              <w:rPr>
                <w:rFonts w:ascii="Times New Roman" w:hAnsi="Times New Roman" w:cs="Times New Roman"/>
                <w:b/>
                <w:bCs/>
                <w:sz w:val="18"/>
                <w:szCs w:val="18"/>
              </w:rPr>
            </w:pPr>
            <w:r w:rsidRPr="00F2269D">
              <w:rPr>
                <w:rFonts w:ascii="Times New Roman" w:hAnsi="Times New Roman" w:cs="Times New Roman"/>
                <w:b/>
                <w:bCs/>
                <w:sz w:val="18"/>
                <w:szCs w:val="18"/>
              </w:rPr>
              <w:t>Tier 3: Policy-Grade</w:t>
            </w:r>
          </w:p>
        </w:tc>
      </w:tr>
      <w:tr w:rsidR="008D77CA" w:rsidRPr="00F2269D" w14:paraId="52B34761" w14:textId="77777777" w:rsidTr="000A6D07">
        <w:tc>
          <w:tcPr>
            <w:tcW w:w="0" w:type="auto"/>
            <w:hideMark/>
          </w:tcPr>
          <w:p w14:paraId="3D95A60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Functional Unit</w:t>
            </w:r>
          </w:p>
        </w:tc>
        <w:tc>
          <w:tcPr>
            <w:tcW w:w="0" w:type="auto"/>
            <w:hideMark/>
          </w:tcPr>
          <w:p w14:paraId="310F2BF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Specification</w:t>
            </w:r>
          </w:p>
        </w:tc>
        <w:tc>
          <w:tcPr>
            <w:tcW w:w="0" w:type="auto"/>
            <w:hideMark/>
          </w:tcPr>
          <w:p w14:paraId="2E1773C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Disclosed</w:t>
            </w:r>
          </w:p>
        </w:tc>
        <w:tc>
          <w:tcPr>
            <w:tcW w:w="0" w:type="auto"/>
            <w:hideMark/>
          </w:tcPr>
          <w:p w14:paraId="54C0B410"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$/GGE or $/MJ</w:t>
            </w:r>
          </w:p>
        </w:tc>
        <w:tc>
          <w:tcPr>
            <w:tcW w:w="0" w:type="auto"/>
            <w:hideMark/>
          </w:tcPr>
          <w:p w14:paraId="7FC8BAC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$/GGE with conversions</w:t>
            </w:r>
          </w:p>
        </w:tc>
      </w:tr>
      <w:tr w:rsidR="008D77CA" w:rsidRPr="00F2269D" w14:paraId="34B81F40" w14:textId="77777777" w:rsidTr="000A6D07">
        <w:tc>
          <w:tcPr>
            <w:tcW w:w="0" w:type="auto"/>
            <w:hideMark/>
          </w:tcPr>
          <w:p w14:paraId="42C62649"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46B7946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Energy content basis</w:t>
            </w:r>
          </w:p>
        </w:tc>
        <w:tc>
          <w:tcPr>
            <w:tcW w:w="0" w:type="auto"/>
            <w:hideMark/>
          </w:tcPr>
          <w:p w14:paraId="0BC479F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Stated</w:t>
            </w:r>
          </w:p>
        </w:tc>
        <w:tc>
          <w:tcPr>
            <w:tcW w:w="0" w:type="auto"/>
            <w:hideMark/>
          </w:tcPr>
          <w:p w14:paraId="0B872CE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LHV-based</w:t>
            </w:r>
          </w:p>
        </w:tc>
        <w:tc>
          <w:tcPr>
            <w:tcW w:w="0" w:type="auto"/>
            <w:hideMark/>
          </w:tcPr>
          <w:p w14:paraId="5BD27AA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LHV with uncertainty</w:t>
            </w:r>
          </w:p>
        </w:tc>
      </w:tr>
      <w:tr w:rsidR="008D77CA" w:rsidRPr="00F2269D" w14:paraId="408EAF3F" w14:textId="77777777" w:rsidTr="000A6D07">
        <w:tc>
          <w:tcPr>
            <w:tcW w:w="0" w:type="auto"/>
            <w:hideMark/>
          </w:tcPr>
          <w:p w14:paraId="1693B82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System Boundary</w:t>
            </w:r>
          </w:p>
        </w:tc>
        <w:tc>
          <w:tcPr>
            <w:tcW w:w="0" w:type="auto"/>
            <w:hideMark/>
          </w:tcPr>
          <w:p w14:paraId="3C0BE10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Definition</w:t>
            </w:r>
          </w:p>
        </w:tc>
        <w:tc>
          <w:tcPr>
            <w:tcW w:w="0" w:type="auto"/>
            <w:hideMark/>
          </w:tcPr>
          <w:p w14:paraId="2EC5440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Documented</w:t>
            </w:r>
          </w:p>
        </w:tc>
        <w:tc>
          <w:tcPr>
            <w:tcW w:w="0" w:type="auto"/>
            <w:hideMark/>
          </w:tcPr>
          <w:p w14:paraId="60CFA2F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Well-to-gate</w:t>
            </w:r>
          </w:p>
        </w:tc>
        <w:tc>
          <w:tcPr>
            <w:tcW w:w="0" w:type="auto"/>
            <w:hideMark/>
          </w:tcPr>
          <w:p w14:paraId="18AD046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Well-to-pump</w:t>
            </w:r>
          </w:p>
        </w:tc>
      </w:tr>
      <w:tr w:rsidR="008D77CA" w:rsidRPr="00F2269D" w14:paraId="76AAC6CE" w14:textId="77777777" w:rsidTr="000A6D07">
        <w:tc>
          <w:tcPr>
            <w:tcW w:w="0" w:type="auto"/>
            <w:hideMark/>
          </w:tcPr>
          <w:p w14:paraId="3CE5D6D5"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586F862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Exclusions</w:t>
            </w:r>
          </w:p>
        </w:tc>
        <w:tc>
          <w:tcPr>
            <w:tcW w:w="0" w:type="auto"/>
            <w:hideMark/>
          </w:tcPr>
          <w:p w14:paraId="4979E7F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Listed</w:t>
            </w:r>
          </w:p>
        </w:tc>
        <w:tc>
          <w:tcPr>
            <w:tcW w:w="0" w:type="auto"/>
            <w:hideMark/>
          </w:tcPr>
          <w:p w14:paraId="64C50D9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Justified</w:t>
            </w:r>
          </w:p>
        </w:tc>
        <w:tc>
          <w:tcPr>
            <w:tcW w:w="0" w:type="auto"/>
            <w:hideMark/>
          </w:tcPr>
          <w:p w14:paraId="76A6C39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Comprehensive</w:t>
            </w:r>
          </w:p>
        </w:tc>
      </w:tr>
      <w:tr w:rsidR="008D77CA" w:rsidRPr="00F2269D" w14:paraId="59FB0502" w14:textId="77777777" w:rsidTr="000A6D07">
        <w:tc>
          <w:tcPr>
            <w:tcW w:w="0" w:type="auto"/>
            <w:hideMark/>
          </w:tcPr>
          <w:p w14:paraId="1099C15A"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759B5E8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Infrastructure</w:t>
            </w:r>
          </w:p>
        </w:tc>
        <w:tc>
          <w:tcPr>
            <w:tcW w:w="0" w:type="auto"/>
            <w:hideMark/>
          </w:tcPr>
          <w:p w14:paraId="648744A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Mentioned</w:t>
            </w:r>
          </w:p>
        </w:tc>
        <w:tc>
          <w:tcPr>
            <w:tcW w:w="0" w:type="auto"/>
            <w:hideMark/>
          </w:tcPr>
          <w:p w14:paraId="3461973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Optional</w:t>
            </w:r>
          </w:p>
        </w:tc>
        <w:tc>
          <w:tcPr>
            <w:tcW w:w="0" w:type="auto"/>
            <w:hideMark/>
          </w:tcPr>
          <w:p w14:paraId="1EF28C3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Included</w:t>
            </w:r>
          </w:p>
        </w:tc>
      </w:tr>
      <w:tr w:rsidR="008D77CA" w:rsidRPr="00F2269D" w14:paraId="00F92AE8" w14:textId="77777777" w:rsidTr="000A6D07">
        <w:tc>
          <w:tcPr>
            <w:tcW w:w="0" w:type="auto"/>
            <w:hideMark/>
          </w:tcPr>
          <w:p w14:paraId="0DFBF9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Economic Assumptions</w:t>
            </w:r>
          </w:p>
        </w:tc>
        <w:tc>
          <w:tcPr>
            <w:tcW w:w="0" w:type="auto"/>
            <w:hideMark/>
          </w:tcPr>
          <w:p w14:paraId="169D241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Discount rate</w:t>
            </w:r>
          </w:p>
        </w:tc>
        <w:tc>
          <w:tcPr>
            <w:tcW w:w="0" w:type="auto"/>
            <w:hideMark/>
          </w:tcPr>
          <w:p w14:paraId="257F51F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Reported</w:t>
            </w:r>
          </w:p>
        </w:tc>
        <w:tc>
          <w:tcPr>
            <w:tcW w:w="0" w:type="auto"/>
            <w:hideMark/>
          </w:tcPr>
          <w:p w14:paraId="20792E8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5–15% range</w:t>
            </w:r>
          </w:p>
        </w:tc>
        <w:tc>
          <w:tcPr>
            <w:tcW w:w="0" w:type="auto"/>
            <w:hideMark/>
          </w:tcPr>
          <w:p w14:paraId="63F9CB4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10% with sensitivity</w:t>
            </w:r>
          </w:p>
        </w:tc>
      </w:tr>
      <w:tr w:rsidR="008D77CA" w:rsidRPr="00F2269D" w14:paraId="72760EAA" w14:textId="77777777" w:rsidTr="000A6D07">
        <w:tc>
          <w:tcPr>
            <w:tcW w:w="0" w:type="auto"/>
            <w:hideMark/>
          </w:tcPr>
          <w:p w14:paraId="71EFC944"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17091E6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Plant lifetime</w:t>
            </w:r>
          </w:p>
        </w:tc>
        <w:tc>
          <w:tcPr>
            <w:tcW w:w="0" w:type="auto"/>
            <w:hideMark/>
          </w:tcPr>
          <w:p w14:paraId="53DF4B2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Stated</w:t>
            </w:r>
          </w:p>
        </w:tc>
        <w:tc>
          <w:tcPr>
            <w:tcW w:w="0" w:type="auto"/>
            <w:hideMark/>
          </w:tcPr>
          <w:p w14:paraId="3853D25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20–30 years</w:t>
            </w:r>
          </w:p>
        </w:tc>
        <w:tc>
          <w:tcPr>
            <w:tcW w:w="0" w:type="auto"/>
            <w:hideMark/>
          </w:tcPr>
          <w:p w14:paraId="02B8468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30 years standard</w:t>
            </w:r>
          </w:p>
        </w:tc>
      </w:tr>
      <w:tr w:rsidR="008D77CA" w:rsidRPr="00F2269D" w14:paraId="7B518708" w14:textId="77777777" w:rsidTr="000A6D07">
        <w:tc>
          <w:tcPr>
            <w:tcW w:w="0" w:type="auto"/>
            <w:hideMark/>
          </w:tcPr>
          <w:p w14:paraId="361D925C"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2784B4E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Feedstock cost</w:t>
            </w:r>
          </w:p>
        </w:tc>
        <w:tc>
          <w:tcPr>
            <w:tcW w:w="0" w:type="auto"/>
            <w:hideMark/>
          </w:tcPr>
          <w:p w14:paraId="291CE7D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Disclosed</w:t>
            </w:r>
          </w:p>
        </w:tc>
        <w:tc>
          <w:tcPr>
            <w:tcW w:w="0" w:type="auto"/>
            <w:hideMark/>
          </w:tcPr>
          <w:p w14:paraId="54F63E5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Regional average</w:t>
            </w:r>
          </w:p>
        </w:tc>
        <w:tc>
          <w:tcPr>
            <w:tcW w:w="0" w:type="auto"/>
            <w:hideMark/>
          </w:tcPr>
          <w:p w14:paraId="05C1EA9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Market analysis</w:t>
            </w:r>
          </w:p>
        </w:tc>
      </w:tr>
      <w:tr w:rsidR="008D77CA" w:rsidRPr="00F2269D" w14:paraId="24336761" w14:textId="77777777" w:rsidTr="000A6D07">
        <w:tc>
          <w:tcPr>
            <w:tcW w:w="0" w:type="auto"/>
            <w:hideMark/>
          </w:tcPr>
          <w:p w14:paraId="01B6387E"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46A1F38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Capital cost</w:t>
            </w:r>
          </w:p>
        </w:tc>
        <w:tc>
          <w:tcPr>
            <w:tcW w:w="0" w:type="auto"/>
            <w:hideMark/>
          </w:tcPr>
          <w:p w14:paraId="4E08F70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Reported</w:t>
            </w:r>
          </w:p>
        </w:tc>
        <w:tc>
          <w:tcPr>
            <w:tcW w:w="0" w:type="auto"/>
            <w:hideMark/>
          </w:tcPr>
          <w:p w14:paraId="48FAE9F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NREL methodology</w:t>
            </w:r>
          </w:p>
        </w:tc>
        <w:tc>
          <w:tcPr>
            <w:tcW w:w="0" w:type="auto"/>
            <w:hideMark/>
          </w:tcPr>
          <w:p w14:paraId="5CEDA72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Detailed breakdown</w:t>
            </w:r>
          </w:p>
        </w:tc>
      </w:tr>
      <w:tr w:rsidR="008D77CA" w:rsidRPr="00F2269D" w14:paraId="3B87E247" w14:textId="77777777" w:rsidTr="000A6D07">
        <w:tc>
          <w:tcPr>
            <w:tcW w:w="0" w:type="auto"/>
            <w:hideMark/>
          </w:tcPr>
          <w:p w14:paraId="6311BBA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Co-product Allocation</w:t>
            </w:r>
          </w:p>
        </w:tc>
        <w:tc>
          <w:tcPr>
            <w:tcW w:w="0" w:type="auto"/>
            <w:hideMark/>
          </w:tcPr>
          <w:p w14:paraId="3A5886C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Method</w:t>
            </w:r>
          </w:p>
        </w:tc>
        <w:tc>
          <w:tcPr>
            <w:tcW w:w="0" w:type="auto"/>
            <w:hideMark/>
          </w:tcPr>
          <w:p w14:paraId="71365D7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Identified</w:t>
            </w:r>
          </w:p>
        </w:tc>
        <w:tc>
          <w:tcPr>
            <w:tcW w:w="0" w:type="auto"/>
            <w:hideMark/>
          </w:tcPr>
          <w:p w14:paraId="4DACD01C"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Energy allocation</w:t>
            </w:r>
          </w:p>
        </w:tc>
        <w:tc>
          <w:tcPr>
            <w:tcW w:w="0" w:type="auto"/>
            <w:hideMark/>
          </w:tcPr>
          <w:p w14:paraId="79B8A46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Multiple methods</w:t>
            </w:r>
          </w:p>
        </w:tc>
      </w:tr>
      <w:tr w:rsidR="008D77CA" w:rsidRPr="00F2269D" w14:paraId="326213DB" w14:textId="77777777" w:rsidTr="000A6D07">
        <w:tc>
          <w:tcPr>
            <w:tcW w:w="0" w:type="auto"/>
            <w:hideMark/>
          </w:tcPr>
          <w:p w14:paraId="67009622"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1C8C761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Justification</w:t>
            </w:r>
          </w:p>
        </w:tc>
        <w:tc>
          <w:tcPr>
            <w:tcW w:w="0" w:type="auto"/>
            <w:hideMark/>
          </w:tcPr>
          <w:p w14:paraId="539BEF4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Provided</w:t>
            </w:r>
          </w:p>
        </w:tc>
        <w:tc>
          <w:tcPr>
            <w:tcW w:w="0" w:type="auto"/>
            <w:hideMark/>
          </w:tcPr>
          <w:p w14:paraId="20367DB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ISO 14044–based</w:t>
            </w:r>
          </w:p>
        </w:tc>
        <w:tc>
          <w:tcPr>
            <w:tcW w:w="0" w:type="auto"/>
            <w:hideMark/>
          </w:tcPr>
          <w:p w14:paraId="6581749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Sensitivity analysis</w:t>
            </w:r>
          </w:p>
        </w:tc>
      </w:tr>
      <w:tr w:rsidR="008D77CA" w:rsidRPr="00F2269D" w14:paraId="1DAC496C" w14:textId="77777777" w:rsidTr="000A6D07">
        <w:tc>
          <w:tcPr>
            <w:tcW w:w="0" w:type="auto"/>
            <w:hideMark/>
          </w:tcPr>
          <w:p w14:paraId="77A073F9"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618E193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System expansion</w:t>
            </w:r>
          </w:p>
        </w:tc>
        <w:tc>
          <w:tcPr>
            <w:tcW w:w="0" w:type="auto"/>
            <w:hideMark/>
          </w:tcPr>
          <w:p w14:paraId="236ADD5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Documented</w:t>
            </w:r>
          </w:p>
        </w:tc>
        <w:tc>
          <w:tcPr>
            <w:tcW w:w="0" w:type="auto"/>
            <w:hideMark/>
          </w:tcPr>
          <w:p w14:paraId="55BA954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Displacement</w:t>
            </w:r>
          </w:p>
        </w:tc>
        <w:tc>
          <w:tcPr>
            <w:tcW w:w="0" w:type="auto"/>
            <w:hideMark/>
          </w:tcPr>
          <w:p w14:paraId="71FD4E2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Full accounting</w:t>
            </w:r>
          </w:p>
        </w:tc>
      </w:tr>
      <w:tr w:rsidR="008D77CA" w:rsidRPr="00F2269D" w14:paraId="598757B0" w14:textId="77777777" w:rsidTr="000A6D07">
        <w:tc>
          <w:tcPr>
            <w:tcW w:w="0" w:type="auto"/>
            <w:hideMark/>
          </w:tcPr>
          <w:p w14:paraId="7589757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Data Sources</w:t>
            </w:r>
          </w:p>
        </w:tc>
        <w:tc>
          <w:tcPr>
            <w:tcW w:w="0" w:type="auto"/>
            <w:hideMark/>
          </w:tcPr>
          <w:p w14:paraId="356D6AF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Background data</w:t>
            </w:r>
          </w:p>
        </w:tc>
        <w:tc>
          <w:tcPr>
            <w:tcW w:w="0" w:type="auto"/>
            <w:hideMark/>
          </w:tcPr>
          <w:p w14:paraId="41AE74C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Cited</w:t>
            </w:r>
          </w:p>
        </w:tc>
        <w:tc>
          <w:tcPr>
            <w:tcW w:w="0" w:type="auto"/>
            <w:hideMark/>
          </w:tcPr>
          <w:p w14:paraId="5CC3D73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 xml:space="preserve">GREET or </w:t>
            </w:r>
            <w:proofErr w:type="spellStart"/>
            <w:r w:rsidRPr="00F2269D">
              <w:rPr>
                <w:rFonts w:ascii="Times New Roman" w:hAnsi="Times New Roman" w:cs="Times New Roman"/>
                <w:sz w:val="18"/>
                <w:szCs w:val="18"/>
              </w:rPr>
              <w:t>ecoinvent</w:t>
            </w:r>
            <w:proofErr w:type="spellEnd"/>
          </w:p>
        </w:tc>
        <w:tc>
          <w:tcPr>
            <w:tcW w:w="0" w:type="auto"/>
            <w:hideMark/>
          </w:tcPr>
          <w:p w14:paraId="6023D3F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GREET with version</w:t>
            </w:r>
          </w:p>
        </w:tc>
      </w:tr>
      <w:tr w:rsidR="008D77CA" w:rsidRPr="00F2269D" w14:paraId="4011FDFC" w14:textId="77777777" w:rsidTr="000A6D07">
        <w:tc>
          <w:tcPr>
            <w:tcW w:w="0" w:type="auto"/>
            <w:hideMark/>
          </w:tcPr>
          <w:p w14:paraId="383BD42E"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6A47A8F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Emission factors</w:t>
            </w:r>
          </w:p>
        </w:tc>
        <w:tc>
          <w:tcPr>
            <w:tcW w:w="0" w:type="auto"/>
            <w:hideMark/>
          </w:tcPr>
          <w:p w14:paraId="5A2B38F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Listed</w:t>
            </w:r>
          </w:p>
        </w:tc>
        <w:tc>
          <w:tcPr>
            <w:tcW w:w="0" w:type="auto"/>
            <w:hideMark/>
          </w:tcPr>
          <w:p w14:paraId="473659D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Consistent source</w:t>
            </w:r>
          </w:p>
        </w:tc>
        <w:tc>
          <w:tcPr>
            <w:tcW w:w="0" w:type="auto"/>
            <w:hideMark/>
          </w:tcPr>
          <w:p w14:paraId="0B225B3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Peer-reviewed</w:t>
            </w:r>
          </w:p>
        </w:tc>
      </w:tr>
      <w:tr w:rsidR="008D77CA" w:rsidRPr="00F2269D" w14:paraId="29105E93" w14:textId="77777777" w:rsidTr="000A6D07">
        <w:tc>
          <w:tcPr>
            <w:tcW w:w="0" w:type="auto"/>
            <w:hideMark/>
          </w:tcPr>
          <w:p w14:paraId="0D497E72"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5784A358"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Update frequency</w:t>
            </w:r>
          </w:p>
        </w:tc>
        <w:tc>
          <w:tcPr>
            <w:tcW w:w="0" w:type="auto"/>
            <w:hideMark/>
          </w:tcPr>
          <w:p w14:paraId="167B4F32"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Mentioned</w:t>
            </w:r>
          </w:p>
        </w:tc>
        <w:tc>
          <w:tcPr>
            <w:tcW w:w="0" w:type="auto"/>
            <w:hideMark/>
          </w:tcPr>
          <w:p w14:paraId="1399FE0B"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&lt; 5 years old</w:t>
            </w:r>
          </w:p>
        </w:tc>
        <w:tc>
          <w:tcPr>
            <w:tcW w:w="0" w:type="auto"/>
            <w:hideMark/>
          </w:tcPr>
          <w:p w14:paraId="15B3AD6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&lt; 3 years old</w:t>
            </w:r>
          </w:p>
        </w:tc>
      </w:tr>
      <w:tr w:rsidR="008D77CA" w:rsidRPr="00F2269D" w14:paraId="3D649D2D" w14:textId="77777777" w:rsidTr="000A6D07">
        <w:tc>
          <w:tcPr>
            <w:tcW w:w="0" w:type="auto"/>
            <w:hideMark/>
          </w:tcPr>
          <w:p w14:paraId="7409078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Uncertainty Treatment</w:t>
            </w:r>
          </w:p>
        </w:tc>
        <w:tc>
          <w:tcPr>
            <w:tcW w:w="0" w:type="auto"/>
            <w:hideMark/>
          </w:tcPr>
          <w:p w14:paraId="197326A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Parameter ranges</w:t>
            </w:r>
          </w:p>
        </w:tc>
        <w:tc>
          <w:tcPr>
            <w:tcW w:w="0" w:type="auto"/>
            <w:hideMark/>
          </w:tcPr>
          <w:p w14:paraId="719FAA4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Discussed</w:t>
            </w:r>
          </w:p>
        </w:tc>
        <w:tc>
          <w:tcPr>
            <w:tcW w:w="0" w:type="auto"/>
            <w:hideMark/>
          </w:tcPr>
          <w:p w14:paraId="1553D05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Key parameters</w:t>
            </w:r>
          </w:p>
        </w:tc>
        <w:tc>
          <w:tcPr>
            <w:tcW w:w="0" w:type="auto"/>
            <w:hideMark/>
          </w:tcPr>
          <w:p w14:paraId="4B6D5BB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Monte Carlo or GSA</w:t>
            </w:r>
          </w:p>
        </w:tc>
      </w:tr>
      <w:tr w:rsidR="008D77CA" w:rsidRPr="00F2269D" w14:paraId="5C911B36" w14:textId="77777777" w:rsidTr="000A6D07">
        <w:tc>
          <w:tcPr>
            <w:tcW w:w="0" w:type="auto"/>
            <w:hideMark/>
          </w:tcPr>
          <w:p w14:paraId="57EEA070"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788DC16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Sensitivity analysis</w:t>
            </w:r>
          </w:p>
        </w:tc>
        <w:tc>
          <w:tcPr>
            <w:tcW w:w="0" w:type="auto"/>
            <w:hideMark/>
          </w:tcPr>
          <w:p w14:paraId="714168A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Qualitative</w:t>
            </w:r>
          </w:p>
        </w:tc>
        <w:tc>
          <w:tcPr>
            <w:tcW w:w="0" w:type="auto"/>
            <w:hideMark/>
          </w:tcPr>
          <w:p w14:paraId="7558BF9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One-at-a-time</w:t>
            </w:r>
          </w:p>
        </w:tc>
        <w:tc>
          <w:tcPr>
            <w:tcW w:w="0" w:type="auto"/>
            <w:hideMark/>
          </w:tcPr>
          <w:p w14:paraId="68BAAD2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Global sensitivity</w:t>
            </w:r>
          </w:p>
        </w:tc>
      </w:tr>
      <w:tr w:rsidR="008D77CA" w:rsidRPr="00F2269D" w14:paraId="721554FD" w14:textId="77777777" w:rsidTr="000A6D07">
        <w:tc>
          <w:tcPr>
            <w:tcW w:w="0" w:type="auto"/>
            <w:hideMark/>
          </w:tcPr>
          <w:p w14:paraId="45CDDE5A"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05D8069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Scenario analysis</w:t>
            </w:r>
          </w:p>
        </w:tc>
        <w:tc>
          <w:tcPr>
            <w:tcW w:w="0" w:type="auto"/>
            <w:hideMark/>
          </w:tcPr>
          <w:p w14:paraId="4B81141C"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Optional</w:t>
            </w:r>
          </w:p>
        </w:tc>
        <w:tc>
          <w:tcPr>
            <w:tcW w:w="0" w:type="auto"/>
            <w:hideMark/>
          </w:tcPr>
          <w:p w14:paraId="31ED66C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Recommended</w:t>
            </w:r>
          </w:p>
        </w:tc>
        <w:tc>
          <w:tcPr>
            <w:tcW w:w="0" w:type="auto"/>
            <w:hideMark/>
          </w:tcPr>
          <w:p w14:paraId="7B8D2D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Required</w:t>
            </w:r>
          </w:p>
        </w:tc>
      </w:tr>
      <w:tr w:rsidR="008D77CA" w:rsidRPr="00F2269D" w14:paraId="7B2F9B46" w14:textId="77777777" w:rsidTr="000A6D07">
        <w:tc>
          <w:tcPr>
            <w:tcW w:w="0" w:type="auto"/>
            <w:hideMark/>
          </w:tcPr>
          <w:p w14:paraId="376A6160"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t>ILUC Treatment</w:t>
            </w:r>
          </w:p>
        </w:tc>
        <w:tc>
          <w:tcPr>
            <w:tcW w:w="0" w:type="auto"/>
            <w:hideMark/>
          </w:tcPr>
          <w:p w14:paraId="07267645"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Inclusion decision</w:t>
            </w:r>
          </w:p>
        </w:tc>
        <w:tc>
          <w:tcPr>
            <w:tcW w:w="0" w:type="auto"/>
            <w:hideMark/>
          </w:tcPr>
          <w:p w14:paraId="6993F91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Stated</w:t>
            </w:r>
          </w:p>
        </w:tc>
        <w:tc>
          <w:tcPr>
            <w:tcW w:w="0" w:type="auto"/>
            <w:hideMark/>
          </w:tcPr>
          <w:p w14:paraId="6CC83196"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Documented</w:t>
            </w:r>
          </w:p>
        </w:tc>
        <w:tc>
          <w:tcPr>
            <w:tcW w:w="0" w:type="auto"/>
            <w:hideMark/>
          </w:tcPr>
          <w:p w14:paraId="57232AD9"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Analyzed separately</w:t>
            </w:r>
          </w:p>
        </w:tc>
      </w:tr>
      <w:tr w:rsidR="008D77CA" w:rsidRPr="00F2269D" w14:paraId="505FD6C1" w14:textId="77777777" w:rsidTr="000A6D07">
        <w:tc>
          <w:tcPr>
            <w:tcW w:w="0" w:type="auto"/>
            <w:hideMark/>
          </w:tcPr>
          <w:p w14:paraId="6C64C177"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705EE7F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Methodology</w:t>
            </w:r>
          </w:p>
        </w:tc>
        <w:tc>
          <w:tcPr>
            <w:tcW w:w="0" w:type="auto"/>
            <w:hideMark/>
          </w:tcPr>
          <w:p w14:paraId="03F4F02E"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Referenced</w:t>
            </w:r>
          </w:p>
        </w:tc>
        <w:tc>
          <w:tcPr>
            <w:tcW w:w="0" w:type="auto"/>
            <w:hideMark/>
          </w:tcPr>
          <w:p w14:paraId="66AED04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GREET-based</w:t>
            </w:r>
          </w:p>
        </w:tc>
        <w:tc>
          <w:tcPr>
            <w:tcW w:w="0" w:type="auto"/>
            <w:hideMark/>
          </w:tcPr>
          <w:p w14:paraId="5B791D2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Multiple scenarios</w:t>
            </w:r>
          </w:p>
        </w:tc>
      </w:tr>
      <w:tr w:rsidR="008D77CA" w:rsidRPr="00F2269D" w14:paraId="2AC01CC7" w14:textId="77777777" w:rsidTr="000A6D07">
        <w:tc>
          <w:tcPr>
            <w:tcW w:w="0" w:type="auto"/>
            <w:hideMark/>
          </w:tcPr>
          <w:p w14:paraId="07BE7A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b/>
                <w:bCs/>
                <w:sz w:val="18"/>
                <w:szCs w:val="18"/>
              </w:rPr>
              <w:lastRenderedPageBreak/>
              <w:t>Reporting Transparency</w:t>
            </w:r>
          </w:p>
        </w:tc>
        <w:tc>
          <w:tcPr>
            <w:tcW w:w="0" w:type="auto"/>
            <w:hideMark/>
          </w:tcPr>
          <w:p w14:paraId="316BE9B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Process flow diagram</w:t>
            </w:r>
          </w:p>
        </w:tc>
        <w:tc>
          <w:tcPr>
            <w:tcW w:w="0" w:type="auto"/>
            <w:hideMark/>
          </w:tcPr>
          <w:p w14:paraId="13F2C357"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Recommended</w:t>
            </w:r>
          </w:p>
        </w:tc>
        <w:tc>
          <w:tcPr>
            <w:tcW w:w="0" w:type="auto"/>
            <w:hideMark/>
          </w:tcPr>
          <w:p w14:paraId="633CA59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Required</w:t>
            </w:r>
          </w:p>
        </w:tc>
        <w:tc>
          <w:tcPr>
            <w:tcW w:w="0" w:type="auto"/>
            <w:hideMark/>
          </w:tcPr>
          <w:p w14:paraId="28AA5D0A"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Detailed with yields</w:t>
            </w:r>
          </w:p>
        </w:tc>
      </w:tr>
      <w:tr w:rsidR="008D77CA" w:rsidRPr="00F2269D" w14:paraId="3F4CAA53" w14:textId="77777777" w:rsidTr="000A6D07">
        <w:tc>
          <w:tcPr>
            <w:tcW w:w="0" w:type="auto"/>
            <w:hideMark/>
          </w:tcPr>
          <w:p w14:paraId="271CD776"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1882833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Mass/energy balances</w:t>
            </w:r>
          </w:p>
        </w:tc>
        <w:tc>
          <w:tcPr>
            <w:tcW w:w="0" w:type="auto"/>
            <w:hideMark/>
          </w:tcPr>
          <w:p w14:paraId="61EFA08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Optional</w:t>
            </w:r>
          </w:p>
        </w:tc>
        <w:tc>
          <w:tcPr>
            <w:tcW w:w="0" w:type="auto"/>
            <w:hideMark/>
          </w:tcPr>
          <w:p w14:paraId="40EF3271"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Recommended</w:t>
            </w:r>
          </w:p>
        </w:tc>
        <w:tc>
          <w:tcPr>
            <w:tcW w:w="0" w:type="auto"/>
            <w:hideMark/>
          </w:tcPr>
          <w:p w14:paraId="336EDE2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Required with closure</w:t>
            </w:r>
          </w:p>
        </w:tc>
      </w:tr>
      <w:tr w:rsidR="008D77CA" w:rsidRPr="00F2269D" w14:paraId="1054AA9E" w14:textId="77777777" w:rsidTr="000A6D07">
        <w:tc>
          <w:tcPr>
            <w:tcW w:w="0" w:type="auto"/>
            <w:hideMark/>
          </w:tcPr>
          <w:p w14:paraId="7B2F022C" w14:textId="77777777" w:rsidR="008D77CA" w:rsidRPr="00F2269D" w:rsidRDefault="008D77CA" w:rsidP="000A6D07">
            <w:pPr>
              <w:jc w:val="both"/>
              <w:rPr>
                <w:rFonts w:ascii="Times New Roman" w:hAnsi="Times New Roman" w:cs="Times New Roman"/>
                <w:sz w:val="18"/>
                <w:szCs w:val="18"/>
              </w:rPr>
            </w:pPr>
          </w:p>
        </w:tc>
        <w:tc>
          <w:tcPr>
            <w:tcW w:w="0" w:type="auto"/>
            <w:hideMark/>
          </w:tcPr>
          <w:p w14:paraId="557351E3"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Validation</w:t>
            </w:r>
          </w:p>
        </w:tc>
        <w:tc>
          <w:tcPr>
            <w:tcW w:w="0" w:type="auto"/>
            <w:hideMark/>
          </w:tcPr>
          <w:p w14:paraId="44194DB4"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Mentioned</w:t>
            </w:r>
          </w:p>
        </w:tc>
        <w:tc>
          <w:tcPr>
            <w:tcW w:w="0" w:type="auto"/>
            <w:hideMark/>
          </w:tcPr>
          <w:p w14:paraId="19C6BCDF"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Published data</w:t>
            </w:r>
          </w:p>
        </w:tc>
        <w:tc>
          <w:tcPr>
            <w:tcW w:w="0" w:type="auto"/>
            <w:hideMark/>
          </w:tcPr>
          <w:p w14:paraId="78487F9D" w14:textId="77777777" w:rsidR="008D77CA" w:rsidRPr="00F2269D" w:rsidRDefault="008D77CA" w:rsidP="000A6D07">
            <w:pPr>
              <w:jc w:val="both"/>
              <w:rPr>
                <w:rFonts w:ascii="Times New Roman" w:hAnsi="Times New Roman" w:cs="Times New Roman"/>
                <w:sz w:val="18"/>
                <w:szCs w:val="18"/>
              </w:rPr>
            </w:pPr>
            <w:r w:rsidRPr="00F2269D">
              <w:rPr>
                <w:rFonts w:ascii="Times New Roman" w:hAnsi="Times New Roman" w:cs="Times New Roman"/>
                <w:sz w:val="18"/>
                <w:szCs w:val="18"/>
              </w:rPr>
              <w:t>Independent review</w:t>
            </w:r>
          </w:p>
        </w:tc>
      </w:tr>
    </w:tbl>
    <w:p w14:paraId="048F5AB0" w14:textId="77777777" w:rsidR="008D77CA" w:rsidRDefault="008D77CA" w:rsidP="008D77CA">
      <w:pPr>
        <w:spacing w:line="240" w:lineRule="auto"/>
        <w:jc w:val="both"/>
        <w:rPr>
          <w:rFonts w:ascii="Times New Roman" w:hAnsi="Times New Roman" w:cs="Times New Roman"/>
          <w:b/>
          <w:bCs/>
        </w:rPr>
      </w:pPr>
    </w:p>
    <w:p w14:paraId="2DB06953" w14:textId="5865BE0A" w:rsidR="00AA6AC9" w:rsidRPr="00AA6AC9" w:rsidRDefault="00AA6AC9" w:rsidP="00D20863">
      <w:pPr>
        <w:spacing w:after="0" w:line="240" w:lineRule="auto"/>
        <w:jc w:val="both"/>
        <w:rPr>
          <w:rFonts w:ascii="Times New Roman" w:hAnsi="Times New Roman" w:cs="Times New Roman"/>
        </w:rPr>
      </w:pPr>
      <w:r w:rsidRPr="00AA6AC9">
        <w:rPr>
          <w:rFonts w:ascii="Times New Roman" w:hAnsi="Times New Roman" w:cs="Times New Roman"/>
        </w:rPr>
        <w:t xml:space="preserve">We validated framework effectiveness by recalculating scenarios using Tier 2 standards: well-to-gate boundaries, energy allocation, disclosed economic assumptions, GREET background data, and scenario-based uncertainty analysis. Before harmonization, 14 scenarios span $1.33-3.09/GGE (CV = 35%) for costs and 10.6-29.0 </w:t>
      </w:r>
      <w:proofErr w:type="spellStart"/>
      <w:r w:rsidRPr="00AA6AC9">
        <w:rPr>
          <w:rFonts w:ascii="Times New Roman" w:hAnsi="Times New Roman" w:cs="Times New Roman"/>
        </w:rPr>
        <w:t>gCO₂e</w:t>
      </w:r>
      <w:proofErr w:type="spellEnd"/>
      <w:r w:rsidRPr="00AA6AC9">
        <w:rPr>
          <w:rFonts w:ascii="Times New Roman" w:hAnsi="Times New Roman" w:cs="Times New Roman"/>
        </w:rPr>
        <w:t xml:space="preserve">/MJ (CV = 27%) for emissions. After harmonization excluding non-standard scenarios, remaining scenarios span $1.72-2.83/GGE (CV = 13%) for costs and 21.4-24.0 </w:t>
      </w:r>
      <w:proofErr w:type="spellStart"/>
      <w:r w:rsidRPr="00AA6AC9">
        <w:rPr>
          <w:rFonts w:ascii="Times New Roman" w:hAnsi="Times New Roman" w:cs="Times New Roman"/>
        </w:rPr>
        <w:t>gCO₂e</w:t>
      </w:r>
      <w:proofErr w:type="spellEnd"/>
      <w:r w:rsidRPr="00AA6AC9">
        <w:rPr>
          <w:rFonts w:ascii="Times New Roman" w:hAnsi="Times New Roman" w:cs="Times New Roman"/>
        </w:rPr>
        <w:t>/MJ (CV = 4%) for emissions (</w:t>
      </w:r>
      <w:r w:rsidR="00FE17F2" w:rsidRPr="00FE17F2">
        <w:rPr>
          <w:rFonts w:ascii="Times New Roman" w:hAnsi="Times New Roman" w:cs="Times New Roman"/>
        </w:rPr>
        <w:fldChar w:fldCharType="begin"/>
      </w:r>
      <w:r w:rsidR="00FE17F2" w:rsidRPr="00FE17F2">
        <w:rPr>
          <w:rFonts w:ascii="Times New Roman" w:hAnsi="Times New Roman" w:cs="Times New Roman"/>
        </w:rPr>
        <w:instrText xml:space="preserve"> REF _Ref221137561 \h  \* MERGEFORMAT </w:instrText>
      </w:r>
      <w:r w:rsidR="00FE17F2" w:rsidRPr="00FE17F2">
        <w:rPr>
          <w:rFonts w:ascii="Times New Roman" w:hAnsi="Times New Roman" w:cs="Times New Roman"/>
        </w:rPr>
      </w:r>
      <w:r w:rsidR="00FE17F2" w:rsidRPr="00FE17F2">
        <w:rPr>
          <w:rFonts w:ascii="Times New Roman" w:hAnsi="Times New Roman" w:cs="Times New Roman"/>
        </w:rPr>
        <w:fldChar w:fldCharType="separate"/>
      </w:r>
      <w:r w:rsidR="00C2534E" w:rsidRPr="00C2534E">
        <w:rPr>
          <w:rFonts w:ascii="Times New Roman" w:hAnsi="Times New Roman" w:cs="Times New Roman"/>
        </w:rPr>
        <w:t xml:space="preserve">Figure </w:t>
      </w:r>
      <w:r w:rsidR="00C2534E" w:rsidRPr="00C2534E">
        <w:rPr>
          <w:rFonts w:ascii="Times New Roman" w:hAnsi="Times New Roman" w:cs="Times New Roman"/>
          <w:noProof/>
        </w:rPr>
        <w:t>4</w:t>
      </w:r>
      <w:r w:rsidR="00FE17F2" w:rsidRPr="00FE17F2">
        <w:rPr>
          <w:rFonts w:ascii="Times New Roman" w:hAnsi="Times New Roman" w:cs="Times New Roman"/>
        </w:rPr>
        <w:fldChar w:fldCharType="end"/>
      </w:r>
      <w:r w:rsidRPr="00AA6AC9">
        <w:rPr>
          <w:rFonts w:ascii="Times New Roman" w:hAnsi="Times New Roman" w:cs="Times New Roman"/>
        </w:rPr>
        <w:t>a,b).</w:t>
      </w:r>
      <w:r w:rsidR="00D20863">
        <w:rPr>
          <w:rFonts w:ascii="Times New Roman" w:hAnsi="Times New Roman" w:cs="Times New Roman"/>
        </w:rPr>
        <w:t xml:space="preserve"> </w:t>
      </w:r>
      <w:r w:rsidRPr="00AA6AC9">
        <w:rPr>
          <w:rFonts w:ascii="Times New Roman" w:hAnsi="Times New Roman" w:cs="Times New Roman"/>
        </w:rPr>
        <w:t>73% for costs (35% to 13%), 64% for emissions (27% to 4%). Bootstrap confidence intervals</w:t>
      </w:r>
      <w:r w:rsidR="00134589">
        <w:rPr>
          <w:rFonts w:ascii="Times New Roman" w:hAnsi="Times New Roman" w:cs="Times New Roman"/>
        </w:rPr>
        <w:t>,</w:t>
      </w:r>
      <w:r w:rsidRPr="00AA6AC9">
        <w:rPr>
          <w:rFonts w:ascii="Times New Roman" w:hAnsi="Times New Roman" w:cs="Times New Roman"/>
        </w:rPr>
        <w:t xml:space="preserve"> cost CV reduction 68-78% (95% CI), emission CV reduction 58-70% (95% CI). These reductions are statistically significant (p &lt; 0.001). Remaining variation after harmonization reflects genuine uncertainties in feedstock costs and technology maturity rather than methodological artifacts. This provides interpretable performance bounds for decision-makers.</w:t>
      </w:r>
    </w:p>
    <w:p w14:paraId="5DD5AEB7" w14:textId="77777777" w:rsidR="001D2D44" w:rsidRDefault="00426C4B" w:rsidP="001D2D44">
      <w:pPr>
        <w:keepNext/>
        <w:spacing w:line="240" w:lineRule="auto"/>
        <w:jc w:val="center"/>
      </w:pPr>
      <w:r w:rsidRPr="00426C4B">
        <w:rPr>
          <w:rFonts w:ascii="Times New Roman" w:hAnsi="Times New Roman" w:cs="Times New Roman"/>
          <w:noProof/>
        </w:rPr>
        <w:drawing>
          <wp:inline distT="0" distB="0" distL="0" distR="0" wp14:anchorId="5BFA89E1" wp14:editId="550BA9B5">
            <wp:extent cx="4101778" cy="3323492"/>
            <wp:effectExtent l="0" t="0" r="0" b="0"/>
            <wp:docPr id="179640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00512" name=""/>
                    <pic:cNvPicPr/>
                  </pic:nvPicPr>
                  <pic:blipFill>
                    <a:blip r:embed="rId10"/>
                    <a:stretch>
                      <a:fillRect/>
                    </a:stretch>
                  </pic:blipFill>
                  <pic:spPr>
                    <a:xfrm>
                      <a:off x="0" y="0"/>
                      <a:ext cx="4101778" cy="3323492"/>
                    </a:xfrm>
                    <a:prstGeom prst="rect">
                      <a:avLst/>
                    </a:prstGeom>
                  </pic:spPr>
                </pic:pic>
              </a:graphicData>
            </a:graphic>
          </wp:inline>
        </w:drawing>
      </w:r>
    </w:p>
    <w:p w14:paraId="28C6F813" w14:textId="3903C568" w:rsidR="0045252B" w:rsidRPr="008D77CA" w:rsidRDefault="001D2D44" w:rsidP="001D2D44">
      <w:pPr>
        <w:pStyle w:val="Caption"/>
        <w:jc w:val="both"/>
        <w:rPr>
          <w:rFonts w:ascii="Times New Roman" w:hAnsi="Times New Roman" w:cs="Times New Roman"/>
          <w:sz w:val="22"/>
          <w:szCs w:val="22"/>
        </w:rPr>
      </w:pPr>
      <w:bookmarkStart w:id="7" w:name="_Ref221137561"/>
      <w:r w:rsidRPr="001D2D44">
        <w:rPr>
          <w:sz w:val="16"/>
          <w:szCs w:val="16"/>
        </w:rPr>
        <w:t xml:space="preserve">Figure </w:t>
      </w:r>
      <w:r w:rsidRPr="001D2D44">
        <w:rPr>
          <w:sz w:val="16"/>
          <w:szCs w:val="16"/>
        </w:rPr>
        <w:fldChar w:fldCharType="begin"/>
      </w:r>
      <w:r w:rsidRPr="001D2D44">
        <w:rPr>
          <w:sz w:val="16"/>
          <w:szCs w:val="16"/>
        </w:rPr>
        <w:instrText xml:space="preserve"> SEQ Figure \* ARABIC </w:instrText>
      </w:r>
      <w:r w:rsidRPr="001D2D44">
        <w:rPr>
          <w:sz w:val="16"/>
          <w:szCs w:val="16"/>
        </w:rPr>
        <w:fldChar w:fldCharType="separate"/>
      </w:r>
      <w:r w:rsidR="000719C8">
        <w:rPr>
          <w:noProof/>
          <w:sz w:val="16"/>
          <w:szCs w:val="16"/>
        </w:rPr>
        <w:t>6</w:t>
      </w:r>
      <w:r w:rsidRPr="001D2D44">
        <w:rPr>
          <w:sz w:val="16"/>
          <w:szCs w:val="16"/>
        </w:rPr>
        <w:fldChar w:fldCharType="end"/>
      </w:r>
      <w:bookmarkEnd w:id="7"/>
      <w:r w:rsidRPr="001D2D44">
        <w:rPr>
          <w:sz w:val="16"/>
          <w:szCs w:val="16"/>
        </w:rPr>
        <w:t xml:space="preserve">. Harmonization framework reduces variation in SAF assessment outcomes. </w:t>
      </w:r>
      <w:proofErr w:type="spellStart"/>
      <w:r w:rsidRPr="001D2D44">
        <w:rPr>
          <w:sz w:val="16"/>
          <w:szCs w:val="16"/>
        </w:rPr>
        <w:t>a,b</w:t>
      </w:r>
      <w:proofErr w:type="spellEnd"/>
      <w:r w:rsidRPr="001D2D44">
        <w:rPr>
          <w:sz w:val="16"/>
          <w:szCs w:val="16"/>
        </w:rPr>
        <w:t xml:space="preserve">, Internal validation using 14 corn stover alcohol-to-jet scenarios shows coefficient of variation (CV) reduction from 35% to 13% for minimum fuel selling price (73% reduction, a) and from 27% to 4% for greenhouse gas emissions (64% reduction, b). Orange bars show assessments before harmonization (n=15); blue bars after applying Tier 2 standards (n=8). Error bars show 95% confidence intervals from bootstrap resampling. </w:t>
      </w:r>
      <w:proofErr w:type="spellStart"/>
      <w:r w:rsidRPr="001D2D44">
        <w:rPr>
          <w:sz w:val="16"/>
          <w:szCs w:val="16"/>
        </w:rPr>
        <w:t>c,d</w:t>
      </w:r>
      <w:proofErr w:type="spellEnd"/>
      <w:r w:rsidRPr="001D2D44">
        <w:rPr>
          <w:sz w:val="16"/>
          <w:szCs w:val="16"/>
        </w:rPr>
        <w:t>, External validation across 10 independent studies (2025) covering HEFA, Fischer-Tropsch, and alcohol-to-jet pathways. Harmonization reduces variation by 50-60% for both cost (c) and emissions (d). Green percentages indicate variation reduction. After harmonization, remaining variation (18-22% for costs, 16-19% for emissions) reflects genuine technology uncertainty rather than methodological artifacts.</w:t>
      </w:r>
    </w:p>
    <w:p w14:paraId="43D73A92"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External Validation</w:t>
      </w:r>
    </w:p>
    <w:p w14:paraId="4F9A73CF" w14:textId="425EF5C9" w:rsid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identified 10 SAF studies published in 2025 (post-review period) covering HEFA (4 studies), FT (3 studies), and ATJ (3 studies). We extracted reported MFSP and GHG values, then applied our harmonization calculator to generate Tier 2 equivalent values.</w:t>
      </w:r>
      <w:r>
        <w:rPr>
          <w:rFonts w:ascii="Times New Roman" w:hAnsi="Times New Roman" w:cs="Times New Roman"/>
        </w:rPr>
        <w:t xml:space="preserve"> </w:t>
      </w:r>
      <w:r w:rsidRPr="008D77CA">
        <w:rPr>
          <w:rFonts w:ascii="Times New Roman" w:hAnsi="Times New Roman" w:cs="Times New Roman"/>
        </w:rPr>
        <w:t xml:space="preserve">Original reported values span </w:t>
      </w:r>
      <w:r w:rsidRPr="008D77CA">
        <w:rPr>
          <w:rFonts w:ascii="Times New Roman" w:hAnsi="Times New Roman" w:cs="Times New Roman"/>
        </w:rPr>
        <w:lastRenderedPageBreak/>
        <w:t xml:space="preserve">$2.10-6.80/GGE for MFSP and 18-52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for GHG across pathways. After harmonization, HEFA studies span $3.20-4.10/GGE and 22-28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FT studies span $4.50-5.80/GGE and 15-21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ATJ studies span $2.80-3.60/GGE and 20-26 </w:t>
      </w:r>
      <w:proofErr w:type="spellStart"/>
      <w:r w:rsidRPr="008D77CA">
        <w:rPr>
          <w:rFonts w:ascii="Times New Roman" w:hAnsi="Times New Roman" w:cs="Times New Roman"/>
        </w:rPr>
        <w:t>gCO₂e</w:t>
      </w:r>
      <w:proofErr w:type="spellEnd"/>
      <w:r w:rsidRPr="008D77CA">
        <w:rPr>
          <w:rFonts w:ascii="Times New Roman" w:hAnsi="Times New Roman" w:cs="Times New Roman"/>
        </w:rPr>
        <w:t>/MJ.</w:t>
      </w:r>
      <w:r>
        <w:rPr>
          <w:rFonts w:ascii="Times New Roman" w:hAnsi="Times New Roman" w:cs="Times New Roman"/>
        </w:rPr>
        <w:t xml:space="preserve"> </w:t>
      </w:r>
      <w:r w:rsidRPr="008D77CA">
        <w:rPr>
          <w:rFonts w:ascii="Times New Roman" w:hAnsi="Times New Roman" w:cs="Times New Roman"/>
        </w:rPr>
        <w:t>Harmonization reduces cross-pathway CV from 41% to 22% for costs and from 35% to 18% for emissions. Within-pathway variation after harmonization (20-25%) aligns with expected technological uncertainty. This external validation confirms framework effectiveness beyond our modeled scenarios.</w:t>
      </w:r>
    </w:p>
    <w:p w14:paraId="7359B851"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Discussion</w:t>
      </w:r>
    </w:p>
    <w:p w14:paraId="5400FFC0"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Methodological Dominance Over Technology</w:t>
      </w:r>
    </w:p>
    <w:p w14:paraId="17A57B04" w14:textId="35DCE24D"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Our results demonstrate that assessment methodology currently drives reported SAF performance more strongly than underlying technological differences. For corn stover ATJ, methodology creates 133% cost variation and 119% emission variation for identical systems. Technology differences under consistent methodology typically produce 20-40% cost variation and 15-30% emission variation. Methodological effects exceed technology effects by factors of 3-8.</w:t>
      </w:r>
      <w:r>
        <w:rPr>
          <w:rFonts w:ascii="Times New Roman" w:hAnsi="Times New Roman" w:cs="Times New Roman"/>
        </w:rPr>
        <w:t xml:space="preserve"> </w:t>
      </w:r>
      <w:r w:rsidRPr="008D77CA">
        <w:rPr>
          <w:rFonts w:ascii="Times New Roman" w:hAnsi="Times New Roman" w:cs="Times New Roman"/>
        </w:rPr>
        <w:t>This finding explains widespread in SAF literature. Studies reporting drastically different results for the same pathway likely reflect different methodological conventions rather than contradictory performance measurements. Without recognizing this, decision-makers cannot determine which pathways truly perform better.</w:t>
      </w:r>
    </w:p>
    <w:p w14:paraId="426CFCAE"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Comparison to Existing Standards</w:t>
      </w:r>
    </w:p>
    <w:p w14:paraId="35453947" w14:textId="201155A4" w:rsidR="008D77CA" w:rsidRPr="008D77CA" w:rsidRDefault="009F0255" w:rsidP="008D77CA">
      <w:pPr>
        <w:spacing w:line="240" w:lineRule="auto"/>
        <w:jc w:val="both"/>
        <w:rPr>
          <w:rFonts w:ascii="Times New Roman" w:hAnsi="Times New Roman" w:cs="Times New Roman"/>
        </w:rPr>
      </w:pPr>
      <w:r w:rsidRPr="009F0255">
        <w:rPr>
          <w:rFonts w:ascii="Times New Roman" w:hAnsi="Times New Roman" w:cs="Times New Roman"/>
        </w:rPr>
        <w:t>Our framework complements existing efforts rather than replacing them. CORSIA methodology guidelines (ICAO, 2021) standardize LCA system boundaries and default emission factors for approved pathways. RED II sustainability criteria (European Commission, 2018) specify GHG calculation methods and minimum reduction thresholds. US Renewable Fuel Standard uses GREET methodology for pathway certification (EPA, 2023).</w:t>
      </w:r>
      <w:r>
        <w:rPr>
          <w:rFonts w:ascii="Times New Roman" w:hAnsi="Times New Roman" w:cs="Times New Roman"/>
        </w:rPr>
        <w:t xml:space="preserve"> </w:t>
      </w:r>
      <w:r w:rsidR="008D77CA" w:rsidRPr="008D77CA">
        <w:rPr>
          <w:rFonts w:ascii="Times New Roman" w:hAnsi="Times New Roman" w:cs="Times New Roman"/>
        </w:rPr>
        <w:t>These regulatory frameworks focus on compliance assessment for approved pathways. Our framework extends standardization to comparative research assessment across pathways at different maturity levels. Tier 2 aligns with CORSIA boundaries (well-to-gate core lifecycle) and GREET allocation conventions (energy-based). Tier 3 adds comprehensive uncertainty analysis not required for compliance but essential for research reliability.</w:t>
      </w:r>
      <w:r w:rsidR="008D77CA">
        <w:rPr>
          <w:rFonts w:ascii="Times New Roman" w:hAnsi="Times New Roman" w:cs="Times New Roman"/>
        </w:rPr>
        <w:t xml:space="preserve"> </w:t>
      </w:r>
      <w:r w:rsidR="008D77CA" w:rsidRPr="008D77CA">
        <w:rPr>
          <w:rFonts w:ascii="Times New Roman" w:hAnsi="Times New Roman" w:cs="Times New Roman"/>
        </w:rPr>
        <w:t>Our framework adds value by addressing TEA-LCA integration. Regulatory standards treat economic and environmental assessment separately. SAF deployment requires simultaneous evaluation of cost competitiveness and emissions reduction. Our harmonization covers both domains with consistent assumptions across TEA and LCA boundaries.</w:t>
      </w:r>
    </w:p>
    <w:p w14:paraId="3BB327B1"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Key Methodological Drivers</w:t>
      </w:r>
    </w:p>
    <w:p w14:paraId="0484FF16" w14:textId="79A3D5EF"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System boundaries create 40% cost difference between gate-to-gate and well-to-gate approaches. Feedstock costs represent 35-45% of total MFSP for agricultural residue pathways. Studies excluding feedstock systematically underestimate production costs. For LCA, ILUC inclusion increases emissions 21% for land-using feedstocks. Studies excluding ILUC underestimate climate impacts.</w:t>
      </w:r>
      <w:r w:rsidR="008A7AE9" w:rsidRPr="008A7AE9">
        <w:rPr>
          <w:rFonts w:ascii="Times New Roman" w:hAnsi="Times New Roman" w:cs="Times New Roman"/>
        </w:rPr>
        <w:t xml:space="preserve"> </w:t>
      </w:r>
      <w:r w:rsidRPr="008D77CA">
        <w:rPr>
          <w:rFonts w:ascii="Times New Roman" w:hAnsi="Times New Roman" w:cs="Times New Roman"/>
        </w:rPr>
        <w:t xml:space="preserve">Allocation methods show moderate effects for TEA (5-10% through co-product value credits) but substantial LCA impacts (11% difference between system expansion and energy allocation). System expansion credits displaced petroleum production, reducing net emissions attributed to SAF. Energy allocation partitions burdens among products. Method choice reflects research question: consequential analysis uses system </w:t>
      </w:r>
      <w:r w:rsidRPr="008A7AE9">
        <w:rPr>
          <w:rFonts w:ascii="Times New Roman" w:hAnsi="Times New Roman" w:cs="Times New Roman"/>
        </w:rPr>
        <w:t>expansion;</w:t>
      </w:r>
      <w:r w:rsidRPr="008D77CA">
        <w:rPr>
          <w:rFonts w:ascii="Times New Roman" w:hAnsi="Times New Roman" w:cs="Times New Roman"/>
        </w:rPr>
        <w:t xml:space="preserve"> attributional analysis uses allocation.</w:t>
      </w:r>
      <w:r w:rsidR="008A7AE9" w:rsidRPr="008A7AE9">
        <w:rPr>
          <w:rFonts w:ascii="Times New Roman" w:hAnsi="Times New Roman" w:cs="Times New Roman"/>
        </w:rPr>
        <w:t xml:space="preserve"> </w:t>
      </w:r>
      <w:r w:rsidRPr="008D77CA">
        <w:rPr>
          <w:rFonts w:ascii="Times New Roman" w:hAnsi="Times New Roman" w:cs="Times New Roman"/>
        </w:rPr>
        <w:t xml:space="preserve">Economic assumptions drive cost variation through discount rate (39% difference </w:t>
      </w:r>
      <w:r w:rsidRPr="008D77CA">
        <w:rPr>
          <w:rFonts w:ascii="Times New Roman" w:hAnsi="Times New Roman" w:cs="Times New Roman"/>
        </w:rPr>
        <w:lastRenderedPageBreak/>
        <w:t xml:space="preserve">between 5% and 15%) and feedstock cost (99% difference across reported ranges). Discount rate reflects financing structure and risk perception. First-of-kind facilities justify higher rates (12-15%) </w:t>
      </w:r>
      <w:r w:rsidR="00A454AC" w:rsidRPr="008D77CA">
        <w:rPr>
          <w:rFonts w:ascii="Times New Roman" w:hAnsi="Times New Roman" w:cs="Times New Roman"/>
        </w:rPr>
        <w:t>reflect</w:t>
      </w:r>
      <w:r w:rsidRPr="008D77CA">
        <w:rPr>
          <w:rFonts w:ascii="Times New Roman" w:hAnsi="Times New Roman" w:cs="Times New Roman"/>
        </w:rPr>
        <w:t xml:space="preserve"> </w:t>
      </w:r>
      <w:r w:rsidRPr="008A7AE9">
        <w:rPr>
          <w:rFonts w:ascii="Times New Roman" w:hAnsi="Times New Roman" w:cs="Times New Roman"/>
        </w:rPr>
        <w:t>technological</w:t>
      </w:r>
      <w:r w:rsidRPr="008D77CA">
        <w:rPr>
          <w:rFonts w:ascii="Times New Roman" w:hAnsi="Times New Roman" w:cs="Times New Roman"/>
        </w:rPr>
        <w:t xml:space="preserve"> risk. Nth-plant mature facilities use lower rates (8-10%) reflecting established performance.</w:t>
      </w:r>
    </w:p>
    <w:p w14:paraId="7D3AA4B6"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Study Limitations</w:t>
      </w:r>
    </w:p>
    <w:p w14:paraId="6E991DCF" w14:textId="2EF2C9C7"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Our computational analysis focuses on corn stover ATJ. We selected this pathway for detailed modeling because sufficient high-quality data exists from NREL to enable full traceability. Other pathways may show different sensitivities to methodological choices.</w:t>
      </w:r>
      <w:r>
        <w:rPr>
          <w:rFonts w:ascii="Times New Roman" w:hAnsi="Times New Roman" w:cs="Times New Roman"/>
        </w:rPr>
        <w:t xml:space="preserve"> </w:t>
      </w:r>
      <w:r w:rsidRPr="008D77CA">
        <w:rPr>
          <w:rFonts w:ascii="Times New Roman" w:hAnsi="Times New Roman" w:cs="Times New Roman"/>
        </w:rPr>
        <w:t xml:space="preserve">HEFA pathways using lipid feedstocks have higher feedstock costs (50-70% of MFSP) but simpler conversion (lower capital intensity). System boundary impacts may be larger for HEFA. FT pathways produce broader co-product slates (naphtha, diesel, waxes), making allocation method choice more influential. </w:t>
      </w:r>
      <w:proofErr w:type="spellStart"/>
      <w:r w:rsidRPr="008D77CA">
        <w:rPr>
          <w:rFonts w:ascii="Times New Roman" w:hAnsi="Times New Roman" w:cs="Times New Roman"/>
        </w:rPr>
        <w:t>PtL</w:t>
      </w:r>
      <w:proofErr w:type="spellEnd"/>
      <w:r w:rsidRPr="008D77CA">
        <w:rPr>
          <w:rFonts w:ascii="Times New Roman" w:hAnsi="Times New Roman" w:cs="Times New Roman"/>
        </w:rPr>
        <w:t xml:space="preserve"> pathways use electricity as primary input rather than biomass, shifting economic sensitivity from feedstock cost to electricity price and </w:t>
      </w:r>
      <w:proofErr w:type="spellStart"/>
      <w:r w:rsidRPr="008D77CA">
        <w:rPr>
          <w:rFonts w:ascii="Times New Roman" w:hAnsi="Times New Roman" w:cs="Times New Roman"/>
        </w:rPr>
        <w:t>electrolyzer</w:t>
      </w:r>
      <w:proofErr w:type="spellEnd"/>
      <w:r w:rsidRPr="008D77CA">
        <w:rPr>
          <w:rFonts w:ascii="Times New Roman" w:hAnsi="Times New Roman" w:cs="Times New Roman"/>
        </w:rPr>
        <w:t xml:space="preserve"> capital.</w:t>
      </w:r>
    </w:p>
    <w:p w14:paraId="066A77E4" w14:textId="602DC1E3"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We recommend extending computational analysis to at least one lipid-based pathway (HEFA) and one thermochemical pathway (FT) to confirm generalizability. External validation using 10 recent studies across pathways suggests our findings hold broadly, but pathway-specific analysis would strengthen conclusions.</w:t>
      </w:r>
      <w:r>
        <w:rPr>
          <w:rFonts w:ascii="Times New Roman" w:hAnsi="Times New Roman" w:cs="Times New Roman"/>
        </w:rPr>
        <w:t xml:space="preserve"> </w:t>
      </w:r>
      <w:r w:rsidRPr="008D77CA">
        <w:rPr>
          <w:rFonts w:ascii="Times New Roman" w:hAnsi="Times New Roman" w:cs="Times New Roman"/>
        </w:rPr>
        <w:t xml:space="preserve">Our ILUC treatment is binary (include 5 </w:t>
      </w:r>
      <w:proofErr w:type="spellStart"/>
      <w:r w:rsidRPr="008D77CA">
        <w:rPr>
          <w:rFonts w:ascii="Times New Roman" w:hAnsi="Times New Roman" w:cs="Times New Roman"/>
        </w:rPr>
        <w:t>gCO₂e</w:t>
      </w:r>
      <w:proofErr w:type="spellEnd"/>
      <w:r w:rsidRPr="008D77CA">
        <w:rPr>
          <w:rFonts w:ascii="Times New Roman" w:hAnsi="Times New Roman" w:cs="Times New Roman"/>
        </w:rPr>
        <w:t xml:space="preserve">/MJ or exclude). Literature reports ILUC estimates ranging 0-30+ </w:t>
      </w:r>
      <w:proofErr w:type="spellStart"/>
      <w:r w:rsidRPr="008D77CA">
        <w:rPr>
          <w:rFonts w:ascii="Times New Roman" w:hAnsi="Times New Roman" w:cs="Times New Roman"/>
        </w:rPr>
        <w:t>gCO₂e</w:t>
      </w:r>
      <w:proofErr w:type="spellEnd"/>
      <w:r w:rsidRPr="008D77CA">
        <w:rPr>
          <w:rFonts w:ascii="Times New Roman" w:hAnsi="Times New Roman" w:cs="Times New Roman"/>
        </w:rPr>
        <w:t>/MJ depending on modeling approach, geographic scope, and baseline scenarios. Modeling ILUC as a continuous range rather than binary choice would better represent actual uncertainty. We recommend Monte Carlo analysis with ILUC distributions.</w:t>
      </w:r>
    </w:p>
    <w:p w14:paraId="5BE1D55F" w14:textId="0D081D64"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 xml:space="preserve">We test allocation methods (energy, mass, economic, system expansion) but exclude exergy allocation and cut-off approaches used in some studies. Exergy allocation weights products by thermodynamic work potential rather than energy content. Cut-off allocation assigns impacts </w:t>
      </w:r>
      <w:r w:rsidR="00201838" w:rsidRPr="008D77CA">
        <w:rPr>
          <w:rFonts w:ascii="Times New Roman" w:hAnsi="Times New Roman" w:cs="Times New Roman"/>
        </w:rPr>
        <w:t>only</w:t>
      </w:r>
      <w:r w:rsidRPr="008D77CA">
        <w:rPr>
          <w:rFonts w:ascii="Times New Roman" w:hAnsi="Times New Roman" w:cs="Times New Roman"/>
        </w:rPr>
        <w:t xml:space="preserve"> primary products. Including these methods would provide more complete sensitivity analysis.</w:t>
      </w:r>
      <w:r>
        <w:rPr>
          <w:rFonts w:ascii="Times New Roman" w:hAnsi="Times New Roman" w:cs="Times New Roman"/>
        </w:rPr>
        <w:t xml:space="preserve"> </w:t>
      </w:r>
      <w:r w:rsidRPr="008D77CA">
        <w:rPr>
          <w:rFonts w:ascii="Times New Roman" w:hAnsi="Times New Roman" w:cs="Times New Roman"/>
        </w:rPr>
        <w:t xml:space="preserve">We vary parameters individually (one-at-a-time sensitivity). Real uncertainty requires simultaneous variation with correlations. We recommend adding Monte Carlo simulation with correlated parameter distributions. </w:t>
      </w:r>
    </w:p>
    <w:p w14:paraId="6CC4DE57"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Broader Implications</w:t>
      </w:r>
    </w:p>
    <w:p w14:paraId="2F5BA1F3" w14:textId="15F588D0" w:rsidR="008D77CA" w:rsidRPr="008D77CA" w:rsidRDefault="008D77CA" w:rsidP="008D77CA">
      <w:pPr>
        <w:spacing w:line="240" w:lineRule="auto"/>
        <w:jc w:val="both"/>
        <w:rPr>
          <w:rFonts w:ascii="Times New Roman" w:hAnsi="Times New Roman" w:cs="Times New Roman"/>
        </w:rPr>
      </w:pPr>
      <w:r w:rsidRPr="008D77CA">
        <w:rPr>
          <w:rFonts w:ascii="Times New Roman" w:hAnsi="Times New Roman" w:cs="Times New Roman"/>
        </w:rPr>
        <w:t>SAF represents one case of broader challenges in energy technology assessment. Similar methodological inconsistency affects battery lifecycle assessment, hydrogen production pathways, and carbon capture systems. Our harmonization approach applies to any field where comparing technologies requires standardized TEA-LCA methods.</w:t>
      </w:r>
      <w:r>
        <w:rPr>
          <w:rFonts w:ascii="Times New Roman" w:hAnsi="Times New Roman" w:cs="Times New Roman"/>
        </w:rPr>
        <w:t xml:space="preserve"> </w:t>
      </w:r>
      <w:r w:rsidRPr="008D77CA">
        <w:rPr>
          <w:rFonts w:ascii="Times New Roman" w:hAnsi="Times New Roman" w:cs="Times New Roman"/>
        </w:rPr>
        <w:t>Addressing assessment inconsistency accelerates technology development by enabling reliable performance comparisons. This focuses research investment on genuinely promising pathways rather than those appearing favorable due to methodological choices. Improved assessment quality supports better policy design and faster commercial deployment.</w:t>
      </w:r>
    </w:p>
    <w:p w14:paraId="6ABB1DE9" w14:textId="77777777" w:rsidR="008D77CA" w:rsidRPr="008D77CA" w:rsidRDefault="008D77CA" w:rsidP="008D77CA">
      <w:pPr>
        <w:spacing w:line="240" w:lineRule="auto"/>
        <w:jc w:val="both"/>
        <w:rPr>
          <w:rFonts w:ascii="Times New Roman" w:hAnsi="Times New Roman" w:cs="Times New Roman"/>
          <w:b/>
          <w:bCs/>
        </w:rPr>
      </w:pPr>
      <w:r w:rsidRPr="008D77CA">
        <w:rPr>
          <w:rFonts w:ascii="Times New Roman" w:hAnsi="Times New Roman" w:cs="Times New Roman"/>
          <w:b/>
          <w:bCs/>
        </w:rPr>
        <w:t>Conclusions</w:t>
      </w:r>
    </w:p>
    <w:p w14:paraId="402EAC6E" w14:textId="74239B71" w:rsidR="002529BE" w:rsidRDefault="00F410FB" w:rsidP="008D77CA">
      <w:pPr>
        <w:spacing w:line="240" w:lineRule="auto"/>
        <w:jc w:val="both"/>
        <w:rPr>
          <w:rFonts w:ascii="Times New Roman" w:hAnsi="Times New Roman" w:cs="Times New Roman"/>
        </w:rPr>
      </w:pPr>
      <w:r>
        <w:rPr>
          <w:rFonts w:ascii="Times New Roman" w:hAnsi="Times New Roman" w:cs="Times New Roman"/>
        </w:rPr>
        <w:t>SAF</w:t>
      </w:r>
      <w:r w:rsidR="008D77CA" w:rsidRPr="008D77CA">
        <w:rPr>
          <w:rFonts w:ascii="Times New Roman" w:hAnsi="Times New Roman" w:cs="Times New Roman"/>
        </w:rPr>
        <w:t xml:space="preserve"> assessment faces a reliability crisis where methodology creates larger variation than technology differences. We quantified this through computational modeling showing 133% cost variation and 119% emission variation for identical corn stover ATJ systems. Our three-tier harmonization framework reduced variation by 73% for costs and 64% for emissions.</w:t>
      </w:r>
      <w:r w:rsidR="008D77CA">
        <w:rPr>
          <w:rFonts w:ascii="Times New Roman" w:hAnsi="Times New Roman" w:cs="Times New Roman"/>
        </w:rPr>
        <w:t xml:space="preserve"> </w:t>
      </w:r>
      <w:r w:rsidR="008D77CA" w:rsidRPr="008D77CA">
        <w:rPr>
          <w:rFonts w:ascii="Times New Roman" w:hAnsi="Times New Roman" w:cs="Times New Roman"/>
        </w:rPr>
        <w:t xml:space="preserve">System </w:t>
      </w:r>
      <w:r w:rsidR="008D77CA" w:rsidRPr="008D77CA">
        <w:rPr>
          <w:rFonts w:ascii="Times New Roman" w:hAnsi="Times New Roman" w:cs="Times New Roman"/>
        </w:rPr>
        <w:lastRenderedPageBreak/>
        <w:t>boundaries, allocation methods, and economic assumptions each drive substantial variation. Standardizing these choices transforms unreliable comparisons into meaningful technology evaluations. The framework aligns with CORSIA guidelines</w:t>
      </w:r>
      <w:r w:rsidR="00C4441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"/>
          <w:id w:val="-8833286"/>
          <w:placeholder>
            <w:docPart w:val="DefaultPlaceholder_-1854013440"/>
          </w:placeholder>
        </w:sdtPr>
        <w:sdtContent>
          <w:r w:rsidR="00C4441E" w:rsidRPr="00C4441E">
            <w:rPr>
              <w:rFonts w:ascii="Times New Roman" w:hAnsi="Times New Roman" w:cs="Times New Roman"/>
              <w:color w:val="000000"/>
            </w:rPr>
            <w:t>[27]</w:t>
          </w:r>
        </w:sdtContent>
      </w:sdt>
      <w:r w:rsidR="008D77CA" w:rsidRPr="008D77CA">
        <w:rPr>
          <w:rFonts w:ascii="Times New Roman" w:hAnsi="Times New Roman" w:cs="Times New Roman"/>
        </w:rPr>
        <w:t xml:space="preserve"> while extending to TEA assessment.</w:t>
      </w:r>
      <w:r w:rsidR="008D77CA">
        <w:rPr>
          <w:rFonts w:ascii="Times New Roman" w:hAnsi="Times New Roman" w:cs="Times New Roman"/>
        </w:rPr>
        <w:t xml:space="preserve"> </w:t>
      </w:r>
      <w:r w:rsidR="008D77CA" w:rsidRPr="008D77CA">
        <w:rPr>
          <w:rFonts w:ascii="Times New Roman" w:hAnsi="Times New Roman" w:cs="Times New Roman"/>
        </w:rPr>
        <w:t>External validation confirms effectiveness across pathways. Implementation requires institutional support through journal requirements, funding mandates, and industry endorsement. We provide open-source tools enabling immediate adoption.</w:t>
      </w:r>
      <w:r w:rsidR="008D77CA">
        <w:rPr>
          <w:rFonts w:ascii="Times New Roman" w:hAnsi="Times New Roman" w:cs="Times New Roman"/>
        </w:rPr>
        <w:t xml:space="preserve"> </w:t>
      </w:r>
      <w:r w:rsidR="008D77CA" w:rsidRPr="008D77CA">
        <w:rPr>
          <w:rFonts w:ascii="Times New Roman" w:hAnsi="Times New Roman" w:cs="Times New Roman"/>
        </w:rPr>
        <w:t xml:space="preserve">Future work should extend harmonization to HEFA and FT pathways, add Monte Carlo uncertainty analysis, and develop pathway-specific guidance. </w:t>
      </w:r>
    </w:p>
    <w:p w14:paraId="26F8FF07" w14:textId="05E0B7B3" w:rsidR="00D964CA" w:rsidRPr="001A0B59" w:rsidRDefault="00D964CA" w:rsidP="00D964CA">
      <w:pPr>
        <w:jc w:val="both"/>
        <w:rPr>
          <w:rFonts w:ascii="Times New Roman" w:hAnsi="Times New Roman" w:cs="Times New Roman"/>
          <w:b/>
          <w:bCs/>
        </w:rPr>
      </w:pPr>
      <w:r w:rsidRPr="00157260">
        <w:rPr>
          <w:rFonts w:ascii="Times New Roman" w:hAnsi="Times New Roman" w:cs="Times New Roman"/>
          <w:b/>
          <w:bCs/>
        </w:rPr>
        <w:t>Declaration of Competing Interest</w:t>
      </w:r>
      <w:r w:rsidR="001A0B59">
        <w:rPr>
          <w:rFonts w:ascii="Times New Roman" w:hAnsi="Times New Roman" w:cs="Times New Roman"/>
          <w:b/>
          <w:bCs/>
        </w:rPr>
        <w:t xml:space="preserve">: </w:t>
      </w:r>
      <w:r w:rsidRPr="00157260">
        <w:rPr>
          <w:rFonts w:ascii="Times New Roman" w:hAnsi="Times New Roman" w:cs="Times New Roman"/>
        </w:rPr>
        <w:t>The authors declare that they have no known competing financial interests</w:t>
      </w:r>
      <w:r>
        <w:rPr>
          <w:rFonts w:ascii="Times New Roman" w:hAnsi="Times New Roman" w:cs="Times New Roman"/>
        </w:rPr>
        <w:t>.</w:t>
      </w:r>
    </w:p>
    <w:p w14:paraId="70710241" w14:textId="1BA5C428" w:rsidR="00C6321D" w:rsidRDefault="00D964CA" w:rsidP="00D964CA">
      <w:pPr>
        <w:jc w:val="both"/>
        <w:rPr>
          <w:rFonts w:ascii="Times New Roman" w:hAnsi="Times New Roman" w:cs="Times New Roman"/>
        </w:rPr>
      </w:pPr>
      <w:r w:rsidRPr="00157260">
        <w:rPr>
          <w:rFonts w:ascii="Times New Roman" w:hAnsi="Times New Roman" w:cs="Times New Roman"/>
          <w:b/>
          <w:bCs/>
        </w:rPr>
        <w:t>Funding:</w:t>
      </w:r>
      <w:r w:rsidRPr="00157260">
        <w:rPr>
          <w:rFonts w:ascii="Times New Roman" w:hAnsi="Times New Roman" w:cs="Times New Roman"/>
        </w:rPr>
        <w:t xml:space="preserve"> The authors declare that no funding was received for this research.</w:t>
      </w:r>
    </w:p>
    <w:p w14:paraId="0455E545" w14:textId="77777777" w:rsidR="00C6321D" w:rsidRDefault="00C6321D" w:rsidP="008D77CA">
      <w:pPr>
        <w:spacing w:line="240" w:lineRule="auto"/>
        <w:jc w:val="both"/>
        <w:rPr>
          <w:rFonts w:ascii="Times New Roman" w:hAnsi="Times New Roman" w:cs="Times New Roman"/>
        </w:rPr>
      </w:pPr>
    </w:p>
    <w:p w14:paraId="0B1C2E0F" w14:textId="77777777" w:rsidR="00C6321D" w:rsidRDefault="00C6321D" w:rsidP="008D77CA">
      <w:pPr>
        <w:spacing w:line="240" w:lineRule="auto"/>
        <w:jc w:val="both"/>
        <w:rPr>
          <w:rFonts w:ascii="Times New Roman" w:hAnsi="Times New Roman" w:cs="Times New Roman"/>
        </w:rPr>
      </w:pPr>
    </w:p>
    <w:p w14:paraId="4A06E724" w14:textId="2B904FD6" w:rsidR="00C6321D" w:rsidRPr="00C608AA" w:rsidRDefault="00C6321D" w:rsidP="008D77CA">
      <w:pPr>
        <w:spacing w:line="240" w:lineRule="auto"/>
        <w:jc w:val="both"/>
        <w:rPr>
          <w:rFonts w:ascii="Times New Roman" w:hAnsi="Times New Roman" w:cs="Times New Roman"/>
          <w:b/>
          <w:bCs/>
        </w:rPr>
      </w:pPr>
      <w:r w:rsidRPr="00C608AA">
        <w:rPr>
          <w:rFonts w:ascii="Times New Roman" w:hAnsi="Times New Roman" w:cs="Times New Roman"/>
          <w:b/>
          <w:bCs/>
        </w:rPr>
        <w:t>References</w:t>
      </w:r>
    </w:p>
    <w:sdt>
      <w:sdtPr>
        <w:rPr>
          <w:rFonts w:ascii="Times New Roman" w:hAnsi="Times New Roman" w:cs="Times New Roman"/>
          <w:color w:val="000000"/>
        </w:rPr>
        <w:tag w:val="MENDELEY_BIBLIOGRAPHY"/>
        <w:id w:val="961537179"/>
        <w:placeholder>
          <w:docPart w:val="DefaultPlaceholder_-1854013440"/>
        </w:placeholder>
      </w:sdtPr>
      <w:sdtContent>
        <w:p w14:paraId="323E6EF8" w14:textId="77777777" w:rsidR="00F464F0" w:rsidRPr="00F464F0" w:rsidRDefault="00F464F0">
          <w:pPr>
            <w:autoSpaceDE w:val="0"/>
            <w:autoSpaceDN w:val="0"/>
            <w:ind w:hanging="640"/>
            <w:divId w:val="508061470"/>
            <w:rPr>
              <w:rFonts w:ascii="Times New Roman" w:eastAsia="Times New Roman" w:hAnsi="Times New Roman" w:cs="Times New Roman"/>
              <w:color w:val="000000"/>
              <w:kern w:val="0"/>
              <w14:ligatures w14:val="none"/>
            </w:rPr>
          </w:pPr>
          <w:r w:rsidRPr="00F464F0">
            <w:rPr>
              <w:rFonts w:ascii="Times New Roman" w:eastAsia="Times New Roman" w:hAnsi="Times New Roman" w:cs="Times New Roman"/>
              <w:color w:val="000000"/>
            </w:rPr>
            <w:t>[1]</w:t>
          </w:r>
          <w:r w:rsidRPr="00F464F0">
            <w:rPr>
              <w:rFonts w:ascii="Times New Roman" w:eastAsia="Times New Roman" w:hAnsi="Times New Roman" w:cs="Times New Roman"/>
              <w:color w:val="000000"/>
            </w:rPr>
            <w:tab/>
            <w:t xml:space="preserve">Lee DS, Fahey DW, Skowron A, Allen MR, Burkhardt U, Chen Q, et al. The contribution of global aviation to anthropogenic climate forcing for 2000 to 2018. Atmos Environ </w:t>
          </w:r>
          <w:proofErr w:type="gramStart"/>
          <w:r w:rsidRPr="00F464F0">
            <w:rPr>
              <w:rFonts w:ascii="Times New Roman" w:eastAsia="Times New Roman" w:hAnsi="Times New Roman" w:cs="Times New Roman"/>
              <w:color w:val="000000"/>
            </w:rPr>
            <w:t>2021;244:117834</w:t>
          </w:r>
          <w:proofErr w:type="gramEnd"/>
          <w:r w:rsidRPr="00F464F0">
            <w:rPr>
              <w:rFonts w:ascii="Times New Roman" w:eastAsia="Times New Roman" w:hAnsi="Times New Roman" w:cs="Times New Roman"/>
              <w:color w:val="000000"/>
            </w:rPr>
            <w:t>. https://doi.org/10.1016/j.atmosenv.2020.117834.</w:t>
          </w:r>
        </w:p>
        <w:p w14:paraId="2033ED1F" w14:textId="77777777" w:rsidR="00F464F0" w:rsidRPr="00F464F0" w:rsidRDefault="00F464F0">
          <w:pPr>
            <w:autoSpaceDE w:val="0"/>
            <w:autoSpaceDN w:val="0"/>
            <w:ind w:hanging="640"/>
            <w:divId w:val="303780209"/>
            <w:rPr>
              <w:rFonts w:ascii="Times New Roman" w:eastAsia="Times New Roman" w:hAnsi="Times New Roman" w:cs="Times New Roman"/>
              <w:color w:val="000000"/>
            </w:rPr>
          </w:pPr>
          <w:r w:rsidRPr="00F464F0">
            <w:rPr>
              <w:rFonts w:ascii="Times New Roman" w:eastAsia="Times New Roman" w:hAnsi="Times New Roman" w:cs="Times New Roman"/>
              <w:color w:val="000000"/>
            </w:rPr>
            <w:t>[2]</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Bergero</w:t>
          </w:r>
          <w:proofErr w:type="spellEnd"/>
          <w:r w:rsidRPr="00F464F0">
            <w:rPr>
              <w:rFonts w:ascii="Times New Roman" w:eastAsia="Times New Roman" w:hAnsi="Times New Roman" w:cs="Times New Roman"/>
              <w:color w:val="000000"/>
            </w:rPr>
            <w:t xml:space="preserve"> C, Gosnell G, Gielen D, Kang S, </w:t>
          </w:r>
          <w:proofErr w:type="spellStart"/>
          <w:r w:rsidRPr="00F464F0">
            <w:rPr>
              <w:rFonts w:ascii="Times New Roman" w:eastAsia="Times New Roman" w:hAnsi="Times New Roman" w:cs="Times New Roman"/>
              <w:color w:val="000000"/>
            </w:rPr>
            <w:t>Bazilian</w:t>
          </w:r>
          <w:proofErr w:type="spellEnd"/>
          <w:r w:rsidRPr="00F464F0">
            <w:rPr>
              <w:rFonts w:ascii="Times New Roman" w:eastAsia="Times New Roman" w:hAnsi="Times New Roman" w:cs="Times New Roman"/>
              <w:color w:val="000000"/>
            </w:rPr>
            <w:t xml:space="preserve"> M, Davis SJ. Pathways to net-zero emissions from aviation. Nature Sustainability 2023 6:4 </w:t>
          </w:r>
          <w:proofErr w:type="gramStart"/>
          <w:r w:rsidRPr="00F464F0">
            <w:rPr>
              <w:rFonts w:ascii="Times New Roman" w:eastAsia="Times New Roman" w:hAnsi="Times New Roman" w:cs="Times New Roman"/>
              <w:color w:val="000000"/>
            </w:rPr>
            <w:t>2023;6:404</w:t>
          </w:r>
          <w:proofErr w:type="gramEnd"/>
          <w:r w:rsidRPr="00F464F0">
            <w:rPr>
              <w:rFonts w:ascii="Times New Roman" w:eastAsia="Times New Roman" w:hAnsi="Times New Roman" w:cs="Times New Roman"/>
              <w:color w:val="000000"/>
            </w:rPr>
            <w:t>–14. https://doi.org/10.1038/s41893-022-01046-9.</w:t>
          </w:r>
        </w:p>
        <w:p w14:paraId="031C8D9D" w14:textId="77777777" w:rsidR="00F464F0" w:rsidRPr="00F464F0" w:rsidRDefault="00F464F0">
          <w:pPr>
            <w:autoSpaceDE w:val="0"/>
            <w:autoSpaceDN w:val="0"/>
            <w:ind w:hanging="640"/>
            <w:divId w:val="573049189"/>
            <w:rPr>
              <w:rFonts w:ascii="Times New Roman" w:eastAsia="Times New Roman" w:hAnsi="Times New Roman" w:cs="Times New Roman"/>
              <w:color w:val="000000"/>
            </w:rPr>
          </w:pPr>
          <w:r w:rsidRPr="00F464F0">
            <w:rPr>
              <w:rFonts w:ascii="Times New Roman" w:eastAsia="Times New Roman" w:hAnsi="Times New Roman" w:cs="Times New Roman"/>
              <w:color w:val="000000"/>
            </w:rPr>
            <w:t>[3]</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Gössling</w:t>
          </w:r>
          <w:proofErr w:type="spellEnd"/>
          <w:r w:rsidRPr="00F464F0">
            <w:rPr>
              <w:rFonts w:ascii="Times New Roman" w:eastAsia="Times New Roman" w:hAnsi="Times New Roman" w:cs="Times New Roman"/>
              <w:color w:val="000000"/>
            </w:rPr>
            <w:t xml:space="preserve"> S, </w:t>
          </w:r>
          <w:proofErr w:type="spellStart"/>
          <w:r w:rsidRPr="00F464F0">
            <w:rPr>
              <w:rFonts w:ascii="Times New Roman" w:eastAsia="Times New Roman" w:hAnsi="Times New Roman" w:cs="Times New Roman"/>
              <w:color w:val="000000"/>
            </w:rPr>
            <w:t>Humpe</w:t>
          </w:r>
          <w:proofErr w:type="spellEnd"/>
          <w:r w:rsidRPr="00F464F0">
            <w:rPr>
              <w:rFonts w:ascii="Times New Roman" w:eastAsia="Times New Roman" w:hAnsi="Times New Roman" w:cs="Times New Roman"/>
              <w:color w:val="000000"/>
            </w:rPr>
            <w:t xml:space="preserve"> A. The global scale, distribution and growth of aviation: Implications for climate change. Global Environmental Change </w:t>
          </w:r>
          <w:proofErr w:type="gramStart"/>
          <w:r w:rsidRPr="00F464F0">
            <w:rPr>
              <w:rFonts w:ascii="Times New Roman" w:eastAsia="Times New Roman" w:hAnsi="Times New Roman" w:cs="Times New Roman"/>
              <w:color w:val="000000"/>
            </w:rPr>
            <w:t>2020;65:102194</w:t>
          </w:r>
          <w:proofErr w:type="gramEnd"/>
          <w:r w:rsidRPr="00F464F0">
            <w:rPr>
              <w:rFonts w:ascii="Times New Roman" w:eastAsia="Times New Roman" w:hAnsi="Times New Roman" w:cs="Times New Roman"/>
              <w:color w:val="000000"/>
            </w:rPr>
            <w:t>. https://doi.org/10.1016/j.gloenvcha.2020.102194.</w:t>
          </w:r>
        </w:p>
        <w:p w14:paraId="79718138" w14:textId="77777777" w:rsidR="00F464F0" w:rsidRPr="00F464F0" w:rsidRDefault="00F464F0">
          <w:pPr>
            <w:autoSpaceDE w:val="0"/>
            <w:autoSpaceDN w:val="0"/>
            <w:ind w:hanging="640"/>
            <w:divId w:val="1346010059"/>
            <w:rPr>
              <w:rFonts w:ascii="Times New Roman" w:eastAsia="Times New Roman" w:hAnsi="Times New Roman" w:cs="Times New Roman"/>
              <w:color w:val="000000"/>
            </w:rPr>
          </w:pPr>
          <w:r w:rsidRPr="00F464F0">
            <w:rPr>
              <w:rFonts w:ascii="Times New Roman" w:eastAsia="Times New Roman" w:hAnsi="Times New Roman" w:cs="Times New Roman"/>
              <w:color w:val="000000"/>
            </w:rPr>
            <w:t>[4]</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Gössling</w:t>
          </w:r>
          <w:proofErr w:type="spellEnd"/>
          <w:r w:rsidRPr="00F464F0">
            <w:rPr>
              <w:rFonts w:ascii="Times New Roman" w:eastAsia="Times New Roman" w:hAnsi="Times New Roman" w:cs="Times New Roman"/>
              <w:color w:val="000000"/>
            </w:rPr>
            <w:t xml:space="preserve"> S, </w:t>
          </w:r>
          <w:proofErr w:type="spellStart"/>
          <w:r w:rsidRPr="00F464F0">
            <w:rPr>
              <w:rFonts w:ascii="Times New Roman" w:eastAsia="Times New Roman" w:hAnsi="Times New Roman" w:cs="Times New Roman"/>
              <w:color w:val="000000"/>
            </w:rPr>
            <w:t>Humpe</w:t>
          </w:r>
          <w:proofErr w:type="spellEnd"/>
          <w:r w:rsidRPr="00F464F0">
            <w:rPr>
              <w:rFonts w:ascii="Times New Roman" w:eastAsia="Times New Roman" w:hAnsi="Times New Roman" w:cs="Times New Roman"/>
              <w:color w:val="000000"/>
            </w:rPr>
            <w:t xml:space="preserve"> A, </w:t>
          </w:r>
          <w:proofErr w:type="spellStart"/>
          <w:r w:rsidRPr="00F464F0">
            <w:rPr>
              <w:rFonts w:ascii="Times New Roman" w:eastAsia="Times New Roman" w:hAnsi="Times New Roman" w:cs="Times New Roman"/>
              <w:color w:val="000000"/>
            </w:rPr>
            <w:t>Fichert</w:t>
          </w:r>
          <w:proofErr w:type="spellEnd"/>
          <w:r w:rsidRPr="00F464F0">
            <w:rPr>
              <w:rFonts w:ascii="Times New Roman" w:eastAsia="Times New Roman" w:hAnsi="Times New Roman" w:cs="Times New Roman"/>
              <w:color w:val="000000"/>
            </w:rPr>
            <w:t xml:space="preserve"> F, </w:t>
          </w:r>
          <w:proofErr w:type="spellStart"/>
          <w:r w:rsidRPr="00F464F0">
            <w:rPr>
              <w:rFonts w:ascii="Times New Roman" w:eastAsia="Times New Roman" w:hAnsi="Times New Roman" w:cs="Times New Roman"/>
              <w:color w:val="000000"/>
            </w:rPr>
            <w:t>Creutzig</w:t>
          </w:r>
          <w:proofErr w:type="spellEnd"/>
          <w:r w:rsidRPr="00F464F0">
            <w:rPr>
              <w:rFonts w:ascii="Times New Roman" w:eastAsia="Times New Roman" w:hAnsi="Times New Roman" w:cs="Times New Roman"/>
              <w:color w:val="000000"/>
            </w:rPr>
            <w:t xml:space="preserve"> F. COVID-19 and pathways to low-carbon air transport until 2050. Environmental Research Letters </w:t>
          </w:r>
          <w:proofErr w:type="gramStart"/>
          <w:r w:rsidRPr="00F464F0">
            <w:rPr>
              <w:rFonts w:ascii="Times New Roman" w:eastAsia="Times New Roman" w:hAnsi="Times New Roman" w:cs="Times New Roman"/>
              <w:color w:val="000000"/>
            </w:rPr>
            <w:t>2021;16:034063</w:t>
          </w:r>
          <w:proofErr w:type="gramEnd"/>
          <w:r w:rsidRPr="00F464F0">
            <w:rPr>
              <w:rFonts w:ascii="Times New Roman" w:eastAsia="Times New Roman" w:hAnsi="Times New Roman" w:cs="Times New Roman"/>
              <w:color w:val="000000"/>
            </w:rPr>
            <w:t>. https://doi.org/10.1088/1748-9326/abe90b.</w:t>
          </w:r>
        </w:p>
        <w:p w14:paraId="1277429A" w14:textId="77777777" w:rsidR="00F464F0" w:rsidRPr="00F464F0" w:rsidRDefault="00F464F0">
          <w:pPr>
            <w:autoSpaceDE w:val="0"/>
            <w:autoSpaceDN w:val="0"/>
            <w:ind w:hanging="640"/>
            <w:divId w:val="839277939"/>
            <w:rPr>
              <w:rFonts w:ascii="Times New Roman" w:eastAsia="Times New Roman" w:hAnsi="Times New Roman" w:cs="Times New Roman"/>
              <w:color w:val="000000"/>
            </w:rPr>
          </w:pPr>
          <w:r w:rsidRPr="00F464F0">
            <w:rPr>
              <w:rFonts w:ascii="Times New Roman" w:eastAsia="Times New Roman" w:hAnsi="Times New Roman" w:cs="Times New Roman"/>
              <w:color w:val="000000"/>
            </w:rPr>
            <w:t>[5]</w:t>
          </w:r>
          <w:r w:rsidRPr="00F464F0">
            <w:rPr>
              <w:rFonts w:ascii="Times New Roman" w:eastAsia="Times New Roman" w:hAnsi="Times New Roman" w:cs="Times New Roman"/>
              <w:color w:val="000000"/>
            </w:rPr>
            <w:tab/>
            <w:t xml:space="preserve">Peeters P, Papp B. Pathway to zero emissions in global tourism: opportunities, challenges, and implications. Journal of Sustainable Tourism </w:t>
          </w:r>
          <w:proofErr w:type="gramStart"/>
          <w:r w:rsidRPr="00F464F0">
            <w:rPr>
              <w:rFonts w:ascii="Times New Roman" w:eastAsia="Times New Roman" w:hAnsi="Times New Roman" w:cs="Times New Roman"/>
              <w:color w:val="000000"/>
            </w:rPr>
            <w:t>2024;32:1784</w:t>
          </w:r>
          <w:proofErr w:type="gramEnd"/>
          <w:r w:rsidRPr="00F464F0">
            <w:rPr>
              <w:rFonts w:ascii="Times New Roman" w:eastAsia="Times New Roman" w:hAnsi="Times New Roman" w:cs="Times New Roman"/>
              <w:color w:val="000000"/>
            </w:rPr>
            <w:t>–810. https://doi.org/10.1080/09669582.2024.2367513.</w:t>
          </w:r>
        </w:p>
        <w:p w14:paraId="0442BEBA" w14:textId="77777777" w:rsidR="00F464F0" w:rsidRPr="00F464F0" w:rsidRDefault="00F464F0">
          <w:pPr>
            <w:autoSpaceDE w:val="0"/>
            <w:autoSpaceDN w:val="0"/>
            <w:ind w:hanging="640"/>
            <w:divId w:val="1061826129"/>
            <w:rPr>
              <w:rFonts w:ascii="Times New Roman" w:eastAsia="Times New Roman" w:hAnsi="Times New Roman" w:cs="Times New Roman"/>
              <w:color w:val="000000"/>
            </w:rPr>
          </w:pPr>
          <w:r w:rsidRPr="00F464F0">
            <w:rPr>
              <w:rFonts w:ascii="Times New Roman" w:eastAsia="Times New Roman" w:hAnsi="Times New Roman" w:cs="Times New Roman"/>
              <w:color w:val="000000"/>
            </w:rPr>
            <w:t>[6]</w:t>
          </w:r>
          <w:r w:rsidRPr="00F464F0">
            <w:rPr>
              <w:rFonts w:ascii="Times New Roman" w:eastAsia="Times New Roman" w:hAnsi="Times New Roman" w:cs="Times New Roman"/>
              <w:color w:val="000000"/>
            </w:rPr>
            <w:tab/>
            <w:t xml:space="preserve">Amponsah J, Ansah KK, Archibong-Eso A. CFD-DDPM modeling of chlorine-rich medical plastic waste in 2D downdraft gasification. Energy Convers Manag </w:t>
          </w:r>
          <w:proofErr w:type="gramStart"/>
          <w:r w:rsidRPr="00F464F0">
            <w:rPr>
              <w:rFonts w:ascii="Times New Roman" w:eastAsia="Times New Roman" w:hAnsi="Times New Roman" w:cs="Times New Roman"/>
              <w:color w:val="000000"/>
            </w:rPr>
            <w:t>2025;345:120411</w:t>
          </w:r>
          <w:proofErr w:type="gramEnd"/>
          <w:r w:rsidRPr="00F464F0">
            <w:rPr>
              <w:rFonts w:ascii="Times New Roman" w:eastAsia="Times New Roman" w:hAnsi="Times New Roman" w:cs="Times New Roman"/>
              <w:color w:val="000000"/>
            </w:rPr>
            <w:t>. https://doi.org/10.1016/J.ENCONMAN.2025.120411.</w:t>
          </w:r>
        </w:p>
        <w:p w14:paraId="0F9BA291" w14:textId="77777777" w:rsidR="00F464F0" w:rsidRPr="00F464F0" w:rsidRDefault="00F464F0">
          <w:pPr>
            <w:autoSpaceDE w:val="0"/>
            <w:autoSpaceDN w:val="0"/>
            <w:ind w:hanging="640"/>
            <w:divId w:val="2014333452"/>
            <w:rPr>
              <w:rFonts w:ascii="Times New Roman" w:eastAsia="Times New Roman" w:hAnsi="Times New Roman" w:cs="Times New Roman"/>
              <w:color w:val="000000"/>
            </w:rPr>
          </w:pPr>
          <w:r w:rsidRPr="00F464F0">
            <w:rPr>
              <w:rFonts w:ascii="Times New Roman" w:eastAsia="Times New Roman" w:hAnsi="Times New Roman" w:cs="Times New Roman"/>
              <w:color w:val="000000"/>
            </w:rPr>
            <w:t>[7]</w:t>
          </w:r>
          <w:r w:rsidRPr="00F464F0">
            <w:rPr>
              <w:rFonts w:ascii="Times New Roman" w:eastAsia="Times New Roman" w:hAnsi="Times New Roman" w:cs="Times New Roman"/>
              <w:color w:val="000000"/>
            </w:rPr>
            <w:tab/>
            <w:t>IATA - Sustainable Aviation Fuel (SAF) n.d. https://www.iata.org/en/programs/sustainability/sustainable-aviation-fuels/ (accessed February 3, 2026).</w:t>
          </w:r>
        </w:p>
        <w:p w14:paraId="60B8429B" w14:textId="77777777" w:rsidR="00F464F0" w:rsidRPr="00F464F0" w:rsidRDefault="00F464F0">
          <w:pPr>
            <w:autoSpaceDE w:val="0"/>
            <w:autoSpaceDN w:val="0"/>
            <w:ind w:hanging="640"/>
            <w:divId w:val="846137854"/>
            <w:rPr>
              <w:rFonts w:ascii="Times New Roman" w:eastAsia="Times New Roman" w:hAnsi="Times New Roman" w:cs="Times New Roman"/>
              <w:color w:val="000000"/>
            </w:rPr>
          </w:pPr>
          <w:r w:rsidRPr="00F464F0">
            <w:rPr>
              <w:rFonts w:ascii="Times New Roman" w:eastAsia="Times New Roman" w:hAnsi="Times New Roman" w:cs="Times New Roman"/>
              <w:color w:val="000000"/>
            </w:rPr>
            <w:lastRenderedPageBreak/>
            <w:t>[8]</w:t>
          </w:r>
          <w:r w:rsidRPr="00F464F0">
            <w:rPr>
              <w:rFonts w:ascii="Times New Roman" w:eastAsia="Times New Roman" w:hAnsi="Times New Roman" w:cs="Times New Roman"/>
              <w:color w:val="000000"/>
            </w:rPr>
            <w:tab/>
            <w:t xml:space="preserve">Jensen LL, Bonnefoy PA, Hileman JI, Fitzgerald JT. The carbon dioxide challenge facing U.S. aviation and paths to achieve net zero emissions by 2050. Progress in Aerospace Sciences </w:t>
          </w:r>
          <w:proofErr w:type="gramStart"/>
          <w:r w:rsidRPr="00F464F0">
            <w:rPr>
              <w:rFonts w:ascii="Times New Roman" w:eastAsia="Times New Roman" w:hAnsi="Times New Roman" w:cs="Times New Roman"/>
              <w:color w:val="000000"/>
            </w:rPr>
            <w:t>2023;141:100921</w:t>
          </w:r>
          <w:proofErr w:type="gramEnd"/>
          <w:r w:rsidRPr="00F464F0">
            <w:rPr>
              <w:rFonts w:ascii="Times New Roman" w:eastAsia="Times New Roman" w:hAnsi="Times New Roman" w:cs="Times New Roman"/>
              <w:color w:val="000000"/>
            </w:rPr>
            <w:t>. https://doi.org/10.1016/j.paerosci.2023.100921.</w:t>
          </w:r>
        </w:p>
        <w:p w14:paraId="17E01B6A" w14:textId="77777777" w:rsidR="00F464F0" w:rsidRPr="00F464F0" w:rsidRDefault="00F464F0">
          <w:pPr>
            <w:autoSpaceDE w:val="0"/>
            <w:autoSpaceDN w:val="0"/>
            <w:ind w:hanging="640"/>
            <w:divId w:val="1766533842"/>
            <w:rPr>
              <w:rFonts w:ascii="Times New Roman" w:eastAsia="Times New Roman" w:hAnsi="Times New Roman" w:cs="Times New Roman"/>
              <w:color w:val="000000"/>
            </w:rPr>
          </w:pPr>
          <w:r w:rsidRPr="00F464F0">
            <w:rPr>
              <w:rFonts w:ascii="Times New Roman" w:eastAsia="Times New Roman" w:hAnsi="Times New Roman" w:cs="Times New Roman"/>
              <w:color w:val="000000"/>
            </w:rPr>
            <w:t>[9]</w:t>
          </w:r>
          <w:r w:rsidRPr="00F464F0">
            <w:rPr>
              <w:rFonts w:ascii="Times New Roman" w:eastAsia="Times New Roman" w:hAnsi="Times New Roman" w:cs="Times New Roman"/>
              <w:color w:val="000000"/>
            </w:rPr>
            <w:tab/>
            <w:t>on ensuring a level playing field for sustainable air transport (</w:t>
          </w:r>
          <w:proofErr w:type="spellStart"/>
          <w:r w:rsidRPr="00F464F0">
            <w:rPr>
              <w:rFonts w:ascii="Times New Roman" w:eastAsia="Times New Roman" w:hAnsi="Times New Roman" w:cs="Times New Roman"/>
              <w:color w:val="000000"/>
            </w:rPr>
            <w:t>ReFuelEU</w:t>
          </w:r>
          <w:proofErr w:type="spellEnd"/>
          <w:r w:rsidRPr="00F464F0">
            <w:rPr>
              <w:rFonts w:ascii="Times New Roman" w:eastAsia="Times New Roman" w:hAnsi="Times New Roman" w:cs="Times New Roman"/>
              <w:color w:val="000000"/>
            </w:rPr>
            <w:t xml:space="preserve"> Aviation) (Text with EEA relevance) 2023.</w:t>
          </w:r>
        </w:p>
        <w:p w14:paraId="0B886297" w14:textId="77777777" w:rsidR="00F464F0" w:rsidRPr="00F464F0" w:rsidRDefault="00F464F0">
          <w:pPr>
            <w:autoSpaceDE w:val="0"/>
            <w:autoSpaceDN w:val="0"/>
            <w:ind w:hanging="640"/>
            <w:divId w:val="67702283"/>
            <w:rPr>
              <w:rFonts w:ascii="Times New Roman" w:eastAsia="Times New Roman" w:hAnsi="Times New Roman" w:cs="Times New Roman"/>
              <w:color w:val="000000"/>
            </w:rPr>
          </w:pPr>
          <w:r w:rsidRPr="00F464F0">
            <w:rPr>
              <w:rFonts w:ascii="Times New Roman" w:eastAsia="Times New Roman" w:hAnsi="Times New Roman" w:cs="Times New Roman"/>
              <w:color w:val="000000"/>
            </w:rPr>
            <w:t>[10]</w:t>
          </w:r>
          <w:r w:rsidRPr="00F464F0">
            <w:rPr>
              <w:rFonts w:ascii="Times New Roman" w:eastAsia="Times New Roman" w:hAnsi="Times New Roman" w:cs="Times New Roman"/>
              <w:color w:val="000000"/>
            </w:rPr>
            <w:tab/>
            <w:t>Sustainable Aviation Fuel Grand Challenge | Department of Energy n.d. https://www.energy.gov/eere/bioenergy/sustainable-aviation-fuel-grand-challenge (accessed February 3, 2026).</w:t>
          </w:r>
        </w:p>
        <w:p w14:paraId="0A3AED5C" w14:textId="77777777" w:rsidR="00F464F0" w:rsidRPr="00F464F0" w:rsidRDefault="00F464F0">
          <w:pPr>
            <w:autoSpaceDE w:val="0"/>
            <w:autoSpaceDN w:val="0"/>
            <w:ind w:hanging="640"/>
            <w:divId w:val="1910920135"/>
            <w:rPr>
              <w:rFonts w:ascii="Times New Roman" w:eastAsia="Times New Roman" w:hAnsi="Times New Roman" w:cs="Times New Roman"/>
              <w:color w:val="000000"/>
            </w:rPr>
          </w:pPr>
          <w:r w:rsidRPr="00F464F0">
            <w:rPr>
              <w:rFonts w:ascii="Times New Roman" w:eastAsia="Times New Roman" w:hAnsi="Times New Roman" w:cs="Times New Roman"/>
              <w:color w:val="000000"/>
            </w:rPr>
            <w:t>[11]</w:t>
          </w:r>
          <w:r w:rsidRPr="00F464F0">
            <w:rPr>
              <w:rFonts w:ascii="Times New Roman" w:eastAsia="Times New Roman" w:hAnsi="Times New Roman" w:cs="Times New Roman"/>
              <w:color w:val="000000"/>
            </w:rPr>
            <w:tab/>
            <w:t>IATA - Sustainable Aviation Fuel (SAF) n.d. https://www.iata.org/en/programs/sustainability/sustainable-aviation-fuels/ (accessed February 3, 2026).</w:t>
          </w:r>
        </w:p>
        <w:p w14:paraId="11B0A63C" w14:textId="77777777" w:rsidR="00F464F0" w:rsidRPr="00F464F0" w:rsidRDefault="00F464F0">
          <w:pPr>
            <w:autoSpaceDE w:val="0"/>
            <w:autoSpaceDN w:val="0"/>
            <w:ind w:hanging="640"/>
            <w:divId w:val="401878151"/>
            <w:rPr>
              <w:rFonts w:ascii="Times New Roman" w:eastAsia="Times New Roman" w:hAnsi="Times New Roman" w:cs="Times New Roman"/>
              <w:color w:val="000000"/>
            </w:rPr>
          </w:pPr>
          <w:r w:rsidRPr="00F464F0">
            <w:rPr>
              <w:rFonts w:ascii="Times New Roman" w:eastAsia="Times New Roman" w:hAnsi="Times New Roman" w:cs="Times New Roman"/>
              <w:color w:val="000000"/>
            </w:rPr>
            <w:t>[12]</w:t>
          </w:r>
          <w:r w:rsidRPr="00F464F0">
            <w:rPr>
              <w:rFonts w:ascii="Times New Roman" w:eastAsia="Times New Roman" w:hAnsi="Times New Roman" w:cs="Times New Roman"/>
              <w:color w:val="000000"/>
            </w:rPr>
            <w:tab/>
            <w:t>Specification for Aviation Turbine Fuel Containing Synthesized Hydrocarbons 2023. https://doi.org/10.1520/D7566-23.</w:t>
          </w:r>
        </w:p>
        <w:p w14:paraId="40E60E09" w14:textId="77777777" w:rsidR="00F464F0" w:rsidRPr="00F464F0" w:rsidRDefault="00F464F0">
          <w:pPr>
            <w:autoSpaceDE w:val="0"/>
            <w:autoSpaceDN w:val="0"/>
            <w:ind w:hanging="640"/>
            <w:divId w:val="1204253425"/>
            <w:rPr>
              <w:rFonts w:ascii="Times New Roman" w:eastAsia="Times New Roman" w:hAnsi="Times New Roman" w:cs="Times New Roman"/>
              <w:color w:val="000000"/>
            </w:rPr>
          </w:pPr>
          <w:r w:rsidRPr="00F464F0">
            <w:rPr>
              <w:rFonts w:ascii="Times New Roman" w:eastAsia="Times New Roman" w:hAnsi="Times New Roman" w:cs="Times New Roman"/>
              <w:color w:val="000000"/>
            </w:rPr>
            <w:t>[13]</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Ylimartimo</w:t>
          </w:r>
          <w:proofErr w:type="spellEnd"/>
          <w:r w:rsidRPr="00F464F0">
            <w:rPr>
              <w:rFonts w:ascii="Times New Roman" w:eastAsia="Times New Roman" w:hAnsi="Times New Roman" w:cs="Times New Roman"/>
              <w:color w:val="000000"/>
            </w:rPr>
            <w:t xml:space="preserve"> A. Case study on Bioeconomy Campus, Central Finland. Biofuels, Bioproducts and Biorefining 2018;12:177–86. https://doi.org/10.1002/bbb.1739.</w:t>
          </w:r>
        </w:p>
        <w:p w14:paraId="54B538A0" w14:textId="77777777" w:rsidR="00F464F0" w:rsidRPr="00F464F0" w:rsidRDefault="00F464F0">
          <w:pPr>
            <w:autoSpaceDE w:val="0"/>
            <w:autoSpaceDN w:val="0"/>
            <w:ind w:hanging="640"/>
            <w:divId w:val="290747820"/>
            <w:rPr>
              <w:rFonts w:ascii="Times New Roman" w:eastAsia="Times New Roman" w:hAnsi="Times New Roman" w:cs="Times New Roman"/>
              <w:color w:val="000000"/>
            </w:rPr>
          </w:pPr>
          <w:r w:rsidRPr="00F464F0">
            <w:rPr>
              <w:rFonts w:ascii="Times New Roman" w:eastAsia="Times New Roman" w:hAnsi="Times New Roman" w:cs="Times New Roman"/>
              <w:color w:val="000000"/>
            </w:rPr>
            <w:t>[14]</w:t>
          </w:r>
          <w:r w:rsidRPr="00F464F0">
            <w:rPr>
              <w:rFonts w:ascii="Times New Roman" w:eastAsia="Times New Roman" w:hAnsi="Times New Roman" w:cs="Times New Roman"/>
              <w:color w:val="000000"/>
            </w:rPr>
            <w:tab/>
            <w:t xml:space="preserve">Staples MD, Malina R, Suresh P, Hileman JI, Barrett SRH. Aviation CO2 emissions reductions from the use of alternative jet fuels. Energy Policy </w:t>
          </w:r>
          <w:proofErr w:type="gramStart"/>
          <w:r w:rsidRPr="00F464F0">
            <w:rPr>
              <w:rFonts w:ascii="Times New Roman" w:eastAsia="Times New Roman" w:hAnsi="Times New Roman" w:cs="Times New Roman"/>
              <w:color w:val="000000"/>
            </w:rPr>
            <w:t>2018;114:342</w:t>
          </w:r>
          <w:proofErr w:type="gramEnd"/>
          <w:r w:rsidRPr="00F464F0">
            <w:rPr>
              <w:rFonts w:ascii="Times New Roman" w:eastAsia="Times New Roman" w:hAnsi="Times New Roman" w:cs="Times New Roman"/>
              <w:color w:val="000000"/>
            </w:rPr>
            <w:t>–54. https://doi.org/10.1016/j.enpol.2017.12.007.</w:t>
          </w:r>
        </w:p>
        <w:p w14:paraId="474A254C" w14:textId="77777777" w:rsidR="00F464F0" w:rsidRPr="00F464F0" w:rsidRDefault="00F464F0">
          <w:pPr>
            <w:autoSpaceDE w:val="0"/>
            <w:autoSpaceDN w:val="0"/>
            <w:ind w:hanging="640"/>
            <w:divId w:val="1948348838"/>
            <w:rPr>
              <w:rFonts w:ascii="Times New Roman" w:eastAsia="Times New Roman" w:hAnsi="Times New Roman" w:cs="Times New Roman"/>
              <w:color w:val="000000"/>
            </w:rPr>
          </w:pPr>
          <w:r w:rsidRPr="00F464F0">
            <w:rPr>
              <w:rFonts w:ascii="Times New Roman" w:eastAsia="Times New Roman" w:hAnsi="Times New Roman" w:cs="Times New Roman"/>
              <w:color w:val="000000"/>
            </w:rPr>
            <w:t>[15]</w:t>
          </w:r>
          <w:r w:rsidRPr="00F464F0">
            <w:rPr>
              <w:rFonts w:ascii="Times New Roman" w:eastAsia="Times New Roman" w:hAnsi="Times New Roman" w:cs="Times New Roman"/>
              <w:color w:val="000000"/>
            </w:rPr>
            <w:tab/>
          </w:r>
          <w:proofErr w:type="spellStart"/>
          <w:r w:rsidRPr="00F464F0">
            <w:rPr>
              <w:rFonts w:ascii="Times New Roman" w:eastAsia="Times New Roman" w:hAnsi="Times New Roman" w:cs="Times New Roman"/>
              <w:color w:val="000000"/>
            </w:rPr>
            <w:t>Ylimartimo</w:t>
          </w:r>
          <w:proofErr w:type="spellEnd"/>
          <w:r w:rsidRPr="00F464F0">
            <w:rPr>
              <w:rFonts w:ascii="Times New Roman" w:eastAsia="Times New Roman" w:hAnsi="Times New Roman" w:cs="Times New Roman"/>
              <w:color w:val="000000"/>
            </w:rPr>
            <w:t xml:space="preserve"> A. Case study on Bioeconomy Campus, Central Finland. Biofuels, Bioproducts and Biorefining 2018;12:177–86. https://doi.org/10.1002/bbb.1739.</w:t>
          </w:r>
        </w:p>
        <w:p w14:paraId="02859FEB" w14:textId="77777777" w:rsidR="00F464F0" w:rsidRPr="00F464F0" w:rsidRDefault="00F464F0">
          <w:pPr>
            <w:autoSpaceDE w:val="0"/>
            <w:autoSpaceDN w:val="0"/>
            <w:ind w:hanging="640"/>
            <w:divId w:val="534780580"/>
            <w:rPr>
              <w:rFonts w:ascii="Times New Roman" w:eastAsia="Times New Roman" w:hAnsi="Times New Roman" w:cs="Times New Roman"/>
              <w:color w:val="000000"/>
            </w:rPr>
          </w:pPr>
          <w:r w:rsidRPr="00F464F0">
            <w:rPr>
              <w:rFonts w:ascii="Times New Roman" w:eastAsia="Times New Roman" w:hAnsi="Times New Roman" w:cs="Times New Roman"/>
              <w:color w:val="000000"/>
            </w:rPr>
            <w:t>[16]</w:t>
          </w:r>
          <w:r w:rsidRPr="00F464F0">
            <w:rPr>
              <w:rFonts w:ascii="Times New Roman" w:eastAsia="Times New Roman" w:hAnsi="Times New Roman" w:cs="Times New Roman"/>
              <w:color w:val="000000"/>
            </w:rPr>
            <w:tab/>
            <w:t xml:space="preserve">Staples MD, Malina R, Suresh P, Hileman JI, Barrett SRH. Aviation CO2 emissions reductions from the use of alternative jet fuels. Energy Policy </w:t>
          </w:r>
          <w:proofErr w:type="gramStart"/>
          <w:r w:rsidRPr="00F464F0">
            <w:rPr>
              <w:rFonts w:ascii="Times New Roman" w:eastAsia="Times New Roman" w:hAnsi="Times New Roman" w:cs="Times New Roman"/>
              <w:color w:val="000000"/>
            </w:rPr>
            <w:t>2018;114:342</w:t>
          </w:r>
          <w:proofErr w:type="gramEnd"/>
          <w:r w:rsidRPr="00F464F0">
            <w:rPr>
              <w:rFonts w:ascii="Times New Roman" w:eastAsia="Times New Roman" w:hAnsi="Times New Roman" w:cs="Times New Roman"/>
              <w:color w:val="000000"/>
            </w:rPr>
            <w:t>–54. https://doi.org/10.1016/j.enpol.2017.12.007.</w:t>
          </w:r>
        </w:p>
        <w:p w14:paraId="5B549C89" w14:textId="77777777" w:rsidR="00F464F0" w:rsidRPr="00F464F0" w:rsidRDefault="00F464F0">
          <w:pPr>
            <w:autoSpaceDE w:val="0"/>
            <w:autoSpaceDN w:val="0"/>
            <w:ind w:hanging="640"/>
            <w:divId w:val="2121409691"/>
            <w:rPr>
              <w:rFonts w:ascii="Times New Roman" w:eastAsia="Times New Roman" w:hAnsi="Times New Roman" w:cs="Times New Roman"/>
              <w:color w:val="000000"/>
            </w:rPr>
          </w:pPr>
          <w:r w:rsidRPr="00F464F0">
            <w:rPr>
              <w:rFonts w:ascii="Times New Roman" w:eastAsia="Times New Roman" w:hAnsi="Times New Roman" w:cs="Times New Roman"/>
              <w:color w:val="000000"/>
            </w:rPr>
            <w:t>[17]</w:t>
          </w:r>
          <w:r w:rsidRPr="00F464F0">
            <w:rPr>
              <w:rFonts w:ascii="Times New Roman" w:eastAsia="Times New Roman" w:hAnsi="Times New Roman" w:cs="Times New Roman"/>
              <w:color w:val="000000"/>
            </w:rPr>
            <w:tab/>
            <w:t xml:space="preserve">Page MJ, McKenzie JE, Bossuyt PM, </w:t>
          </w:r>
          <w:proofErr w:type="spellStart"/>
          <w:r w:rsidRPr="00F464F0">
            <w:rPr>
              <w:rFonts w:ascii="Times New Roman" w:eastAsia="Times New Roman" w:hAnsi="Times New Roman" w:cs="Times New Roman"/>
              <w:color w:val="000000"/>
            </w:rPr>
            <w:t>Boutron</w:t>
          </w:r>
          <w:proofErr w:type="spellEnd"/>
          <w:r w:rsidRPr="00F464F0">
            <w:rPr>
              <w:rFonts w:ascii="Times New Roman" w:eastAsia="Times New Roman" w:hAnsi="Times New Roman" w:cs="Times New Roman"/>
              <w:color w:val="000000"/>
            </w:rPr>
            <w:t xml:space="preserve"> I, Hoffmann TC, Mulrow CD, et al. The PRISMA 2020 statement: an updated guideline for reporting systematic reviews. BMJ 2021;372. https://doi.org/10.1136/bmj.n71.</w:t>
          </w:r>
        </w:p>
        <w:p w14:paraId="58062D61" w14:textId="77777777" w:rsidR="00F464F0" w:rsidRPr="00F464F0" w:rsidRDefault="00F464F0">
          <w:pPr>
            <w:autoSpaceDE w:val="0"/>
            <w:autoSpaceDN w:val="0"/>
            <w:ind w:hanging="640"/>
            <w:divId w:val="2126733243"/>
            <w:rPr>
              <w:rFonts w:ascii="Times New Roman" w:eastAsia="Times New Roman" w:hAnsi="Times New Roman" w:cs="Times New Roman"/>
              <w:color w:val="000000"/>
            </w:rPr>
          </w:pPr>
          <w:r w:rsidRPr="00F464F0">
            <w:rPr>
              <w:rFonts w:ascii="Times New Roman" w:eastAsia="Times New Roman" w:hAnsi="Times New Roman" w:cs="Times New Roman"/>
              <w:color w:val="000000"/>
            </w:rPr>
            <w:t>[18]</w:t>
          </w:r>
          <w:r w:rsidRPr="00F464F0">
            <w:rPr>
              <w:rFonts w:ascii="Times New Roman" w:eastAsia="Times New Roman" w:hAnsi="Times New Roman" w:cs="Times New Roman"/>
              <w:color w:val="000000"/>
            </w:rPr>
            <w:tab/>
            <w:t xml:space="preserve">Page MJ, McKenzie JE, Bossuyt PM, </w:t>
          </w:r>
          <w:proofErr w:type="spellStart"/>
          <w:r w:rsidRPr="00F464F0">
            <w:rPr>
              <w:rFonts w:ascii="Times New Roman" w:eastAsia="Times New Roman" w:hAnsi="Times New Roman" w:cs="Times New Roman"/>
              <w:color w:val="000000"/>
            </w:rPr>
            <w:t>Boutron</w:t>
          </w:r>
          <w:proofErr w:type="spellEnd"/>
          <w:r w:rsidRPr="00F464F0">
            <w:rPr>
              <w:rFonts w:ascii="Times New Roman" w:eastAsia="Times New Roman" w:hAnsi="Times New Roman" w:cs="Times New Roman"/>
              <w:color w:val="000000"/>
            </w:rPr>
            <w:t xml:space="preserve"> I, Hoffmann TC, Mulrow CD, et al. The PRISMA 2020 statement: an updated guideline for reporting systematic reviews. BMJ 2021;372. https://doi.org/10.1136/BMJ.N71.</w:t>
          </w:r>
        </w:p>
        <w:p w14:paraId="0007CB84" w14:textId="77777777" w:rsidR="00F464F0" w:rsidRPr="00F464F0" w:rsidRDefault="00F464F0">
          <w:pPr>
            <w:autoSpaceDE w:val="0"/>
            <w:autoSpaceDN w:val="0"/>
            <w:ind w:hanging="640"/>
            <w:divId w:val="846015133"/>
            <w:rPr>
              <w:rFonts w:ascii="Times New Roman" w:eastAsia="Times New Roman" w:hAnsi="Times New Roman" w:cs="Times New Roman"/>
              <w:color w:val="000000"/>
            </w:rPr>
          </w:pPr>
          <w:r w:rsidRPr="00F464F0">
            <w:rPr>
              <w:rFonts w:ascii="Times New Roman" w:eastAsia="Times New Roman" w:hAnsi="Times New Roman" w:cs="Times New Roman"/>
              <w:color w:val="000000"/>
            </w:rPr>
            <w:t>[19]</w:t>
          </w:r>
          <w:r w:rsidRPr="00F464F0">
            <w:rPr>
              <w:rFonts w:ascii="Times New Roman" w:eastAsia="Times New Roman" w:hAnsi="Times New Roman" w:cs="Times New Roman"/>
              <w:color w:val="000000"/>
            </w:rPr>
            <w:tab/>
            <w:t>Cooney June G. BEST PRACTICES FOR LIFE CYCLE ASSESSMENT (LCA) OF DIRECT AIR CAPTURE WITH STORAGE (DACS) 2022.</w:t>
          </w:r>
        </w:p>
        <w:p w14:paraId="4617424C" w14:textId="77777777" w:rsidR="00F464F0" w:rsidRPr="00F464F0" w:rsidRDefault="00F464F0">
          <w:pPr>
            <w:autoSpaceDE w:val="0"/>
            <w:autoSpaceDN w:val="0"/>
            <w:ind w:hanging="640"/>
            <w:divId w:val="1001659002"/>
            <w:rPr>
              <w:rFonts w:ascii="Times New Roman" w:eastAsia="Times New Roman" w:hAnsi="Times New Roman" w:cs="Times New Roman"/>
              <w:color w:val="000000"/>
            </w:rPr>
          </w:pPr>
          <w:r w:rsidRPr="00F464F0">
            <w:rPr>
              <w:rFonts w:ascii="Times New Roman" w:eastAsia="Times New Roman" w:hAnsi="Times New Roman" w:cs="Times New Roman"/>
              <w:color w:val="000000"/>
            </w:rPr>
            <w:t>[20]</w:t>
          </w:r>
          <w:r w:rsidRPr="00F464F0">
            <w:rPr>
              <w:rFonts w:ascii="Times New Roman" w:eastAsia="Times New Roman" w:hAnsi="Times New Roman" w:cs="Times New Roman"/>
              <w:color w:val="000000"/>
            </w:rPr>
            <w:tab/>
            <w:t xml:space="preserve">Tao L, Markham JN, Haq Z, Biddy MJ. Techno-economic analysis for upgrading the biomass-derived ethanol-to-jet </w:t>
          </w:r>
          <w:proofErr w:type="spellStart"/>
          <w:r w:rsidRPr="00F464F0">
            <w:rPr>
              <w:rFonts w:ascii="Times New Roman" w:eastAsia="Times New Roman" w:hAnsi="Times New Roman" w:cs="Times New Roman"/>
              <w:color w:val="000000"/>
            </w:rPr>
            <w:t>blendstocks</w:t>
          </w:r>
          <w:proofErr w:type="spellEnd"/>
          <w:r w:rsidRPr="00F464F0">
            <w:rPr>
              <w:rFonts w:ascii="Times New Roman" w:eastAsia="Times New Roman" w:hAnsi="Times New Roman" w:cs="Times New Roman"/>
              <w:color w:val="000000"/>
            </w:rPr>
            <w:t xml:space="preserve">. Green Chemistry </w:t>
          </w:r>
          <w:proofErr w:type="gramStart"/>
          <w:r w:rsidRPr="00F464F0">
            <w:rPr>
              <w:rFonts w:ascii="Times New Roman" w:eastAsia="Times New Roman" w:hAnsi="Times New Roman" w:cs="Times New Roman"/>
              <w:color w:val="000000"/>
            </w:rPr>
            <w:t>2017;19:1082</w:t>
          </w:r>
          <w:proofErr w:type="gramEnd"/>
          <w:r w:rsidRPr="00F464F0">
            <w:rPr>
              <w:rFonts w:ascii="Times New Roman" w:eastAsia="Times New Roman" w:hAnsi="Times New Roman" w:cs="Times New Roman"/>
              <w:color w:val="000000"/>
            </w:rPr>
            <w:t>–101. https://doi.org/10.1039/c6gc02800d.</w:t>
          </w:r>
        </w:p>
        <w:p w14:paraId="0557320F" w14:textId="77777777" w:rsidR="00F464F0" w:rsidRPr="00F464F0" w:rsidRDefault="00F464F0">
          <w:pPr>
            <w:autoSpaceDE w:val="0"/>
            <w:autoSpaceDN w:val="0"/>
            <w:ind w:hanging="640"/>
            <w:divId w:val="1984004079"/>
            <w:rPr>
              <w:rFonts w:ascii="Times New Roman" w:eastAsia="Times New Roman" w:hAnsi="Times New Roman" w:cs="Times New Roman"/>
              <w:color w:val="000000"/>
            </w:rPr>
          </w:pPr>
          <w:r w:rsidRPr="00F464F0">
            <w:rPr>
              <w:rFonts w:ascii="Times New Roman" w:eastAsia="Times New Roman" w:hAnsi="Times New Roman" w:cs="Times New Roman"/>
              <w:color w:val="000000"/>
            </w:rPr>
            <w:lastRenderedPageBreak/>
            <w:t>[21]</w:t>
          </w:r>
          <w:r w:rsidRPr="00F464F0">
            <w:rPr>
              <w:rFonts w:ascii="Times New Roman" w:eastAsia="Times New Roman" w:hAnsi="Times New Roman" w:cs="Times New Roman"/>
              <w:color w:val="000000"/>
            </w:rPr>
            <w:tab/>
            <w:t xml:space="preserve">Han J, Tao L, Wang M. Well-to-wake analysis of ethanol-to-jet and sugar-to-jet pathways. Biotechnology for Biofuels 2017 10:1 </w:t>
          </w:r>
          <w:proofErr w:type="gramStart"/>
          <w:r w:rsidRPr="00F464F0">
            <w:rPr>
              <w:rFonts w:ascii="Times New Roman" w:eastAsia="Times New Roman" w:hAnsi="Times New Roman" w:cs="Times New Roman"/>
              <w:color w:val="000000"/>
            </w:rPr>
            <w:t>2017;10:21</w:t>
          </w:r>
          <w:proofErr w:type="gramEnd"/>
          <w:r w:rsidRPr="00F464F0">
            <w:rPr>
              <w:rFonts w:ascii="Times New Roman" w:eastAsia="Times New Roman" w:hAnsi="Times New Roman" w:cs="Times New Roman"/>
              <w:color w:val="000000"/>
            </w:rPr>
            <w:t>-. https://doi.org/10.1186/s13068-017-0698-z.</w:t>
          </w:r>
        </w:p>
        <w:p w14:paraId="7D281F65" w14:textId="77777777" w:rsidR="00F464F0" w:rsidRPr="00F464F0" w:rsidRDefault="00F464F0">
          <w:pPr>
            <w:autoSpaceDE w:val="0"/>
            <w:autoSpaceDN w:val="0"/>
            <w:ind w:hanging="640"/>
            <w:divId w:val="137302785"/>
            <w:rPr>
              <w:rFonts w:ascii="Times New Roman" w:eastAsia="Times New Roman" w:hAnsi="Times New Roman" w:cs="Times New Roman"/>
              <w:color w:val="000000"/>
            </w:rPr>
          </w:pPr>
          <w:r w:rsidRPr="00F464F0">
            <w:rPr>
              <w:rFonts w:ascii="Times New Roman" w:eastAsia="Times New Roman" w:hAnsi="Times New Roman" w:cs="Times New Roman"/>
              <w:color w:val="000000"/>
            </w:rPr>
            <w:t>[22]</w:t>
          </w:r>
          <w:r w:rsidRPr="00F464F0">
            <w:rPr>
              <w:rFonts w:ascii="Times New Roman" w:eastAsia="Times New Roman" w:hAnsi="Times New Roman" w:cs="Times New Roman"/>
              <w:color w:val="000000"/>
            </w:rPr>
            <w:tab/>
            <w:t xml:space="preserve">Lark TJ, Hendricks NP, Smith A, Pates N, Spawn-Lee SA, Bougie M, et al. Environmental outcomes of the US Renewable Fuel Standard. Proc Natl </w:t>
          </w:r>
          <w:proofErr w:type="spellStart"/>
          <w:r w:rsidRPr="00F464F0">
            <w:rPr>
              <w:rFonts w:ascii="Times New Roman" w:eastAsia="Times New Roman" w:hAnsi="Times New Roman" w:cs="Times New Roman"/>
              <w:color w:val="000000"/>
            </w:rPr>
            <w:t>Acad</w:t>
          </w:r>
          <w:proofErr w:type="spellEnd"/>
          <w:r w:rsidRPr="00F464F0">
            <w:rPr>
              <w:rFonts w:ascii="Times New Roman" w:eastAsia="Times New Roman" w:hAnsi="Times New Roman" w:cs="Times New Roman"/>
              <w:color w:val="000000"/>
            </w:rPr>
            <w:t xml:space="preserve"> Sci U S A 2022;119. https://doi.org/10.1073/pnas.2101084119.</w:t>
          </w:r>
        </w:p>
        <w:p w14:paraId="07495D81" w14:textId="77777777" w:rsidR="00F464F0" w:rsidRPr="00F464F0" w:rsidRDefault="00F464F0">
          <w:pPr>
            <w:autoSpaceDE w:val="0"/>
            <w:autoSpaceDN w:val="0"/>
            <w:ind w:hanging="640"/>
            <w:divId w:val="23293677"/>
            <w:rPr>
              <w:rFonts w:ascii="Times New Roman" w:eastAsia="Times New Roman" w:hAnsi="Times New Roman" w:cs="Times New Roman"/>
              <w:color w:val="000000"/>
            </w:rPr>
          </w:pPr>
          <w:r w:rsidRPr="00F464F0">
            <w:rPr>
              <w:rFonts w:ascii="Times New Roman" w:eastAsia="Times New Roman" w:hAnsi="Times New Roman" w:cs="Times New Roman"/>
              <w:color w:val="000000"/>
            </w:rPr>
            <w:t>[23]</w:t>
          </w:r>
          <w:r w:rsidRPr="00F464F0">
            <w:rPr>
              <w:rFonts w:ascii="Times New Roman" w:eastAsia="Times New Roman" w:hAnsi="Times New Roman" w:cs="Times New Roman"/>
              <w:color w:val="000000"/>
            </w:rPr>
            <w:tab/>
            <w:t xml:space="preserve">Davis R, </w:t>
          </w:r>
          <w:proofErr w:type="spellStart"/>
          <w:r w:rsidRPr="00F464F0">
            <w:rPr>
              <w:rFonts w:ascii="Times New Roman" w:eastAsia="Times New Roman" w:hAnsi="Times New Roman" w:cs="Times New Roman"/>
              <w:color w:val="000000"/>
            </w:rPr>
            <w:t>Grundl</w:t>
          </w:r>
          <w:proofErr w:type="spellEnd"/>
          <w:r w:rsidRPr="00F464F0">
            <w:rPr>
              <w:rFonts w:ascii="Times New Roman" w:eastAsia="Times New Roman" w:hAnsi="Times New Roman" w:cs="Times New Roman"/>
              <w:color w:val="000000"/>
            </w:rPr>
            <w:t xml:space="preserve"> N, Tao L, Biddy MJ, Tan ECD, Beckham GT, et al. Process Design and Economics for the Conversion of Lignocellulosic Biomass to Hydrocarbon Fuels and Coproducts: 2018 Biochemical Design Case Update: Biochemical Deconstruction and Conversion of Biomass to Fuels and Products via Integrated Biorefinery Pat… 2018.</w:t>
          </w:r>
        </w:p>
        <w:p w14:paraId="2494E26D" w14:textId="77777777" w:rsidR="00F464F0" w:rsidRPr="00F464F0" w:rsidRDefault="00F464F0">
          <w:pPr>
            <w:autoSpaceDE w:val="0"/>
            <w:autoSpaceDN w:val="0"/>
            <w:ind w:hanging="640"/>
            <w:divId w:val="1004087701"/>
            <w:rPr>
              <w:rFonts w:ascii="Times New Roman" w:eastAsia="Times New Roman" w:hAnsi="Times New Roman" w:cs="Times New Roman"/>
              <w:color w:val="000000"/>
            </w:rPr>
          </w:pPr>
          <w:r w:rsidRPr="00F464F0">
            <w:rPr>
              <w:rFonts w:ascii="Times New Roman" w:eastAsia="Times New Roman" w:hAnsi="Times New Roman" w:cs="Times New Roman"/>
              <w:color w:val="000000"/>
            </w:rPr>
            <w:t>[24]</w:t>
          </w:r>
          <w:r w:rsidRPr="00F464F0">
            <w:rPr>
              <w:rFonts w:ascii="Times New Roman" w:eastAsia="Times New Roman" w:hAnsi="Times New Roman" w:cs="Times New Roman"/>
              <w:color w:val="000000"/>
            </w:rPr>
            <w:tab/>
            <w:t xml:space="preserve">Wang M, </w:t>
          </w:r>
          <w:proofErr w:type="spellStart"/>
          <w:r w:rsidRPr="00F464F0">
            <w:rPr>
              <w:rFonts w:ascii="Times New Roman" w:eastAsia="Times New Roman" w:hAnsi="Times New Roman" w:cs="Times New Roman"/>
              <w:color w:val="000000"/>
            </w:rPr>
            <w:t>Elgowainy</w:t>
          </w:r>
          <w:proofErr w:type="spellEnd"/>
          <w:r w:rsidRPr="00F464F0">
            <w:rPr>
              <w:rFonts w:ascii="Times New Roman" w:eastAsia="Times New Roman" w:hAnsi="Times New Roman" w:cs="Times New Roman"/>
              <w:color w:val="000000"/>
            </w:rPr>
            <w:t xml:space="preserve"> A, Lee U, Bafana A, Banerjee S, Benavides PT, et al. Summary of Expansions and Updates in GREET® 2021 2021. https://doi.org/10.2172/1824336.</w:t>
          </w:r>
        </w:p>
        <w:p w14:paraId="7EBF2ACA" w14:textId="77777777" w:rsidR="00F464F0" w:rsidRPr="00F464F0" w:rsidRDefault="00F464F0">
          <w:pPr>
            <w:autoSpaceDE w:val="0"/>
            <w:autoSpaceDN w:val="0"/>
            <w:ind w:hanging="640"/>
            <w:divId w:val="768429817"/>
            <w:rPr>
              <w:rFonts w:ascii="Times New Roman" w:eastAsia="Times New Roman" w:hAnsi="Times New Roman" w:cs="Times New Roman"/>
              <w:color w:val="000000"/>
            </w:rPr>
          </w:pPr>
          <w:r w:rsidRPr="00F464F0">
            <w:rPr>
              <w:rFonts w:ascii="Times New Roman" w:eastAsia="Times New Roman" w:hAnsi="Times New Roman" w:cs="Times New Roman"/>
              <w:color w:val="000000"/>
            </w:rPr>
            <w:t>[25]</w:t>
          </w:r>
          <w:r w:rsidRPr="00F464F0">
            <w:rPr>
              <w:rFonts w:ascii="Times New Roman" w:eastAsia="Times New Roman" w:hAnsi="Times New Roman" w:cs="Times New Roman"/>
              <w:color w:val="000000"/>
            </w:rPr>
            <w:tab/>
            <w:t xml:space="preserve">Tao L, Markham JN, Haq Z, Biddy MJ. Techno-Economic Analysis for Upgrading the Biomass-Derived Ethanol-to-Jet </w:t>
          </w:r>
          <w:proofErr w:type="spellStart"/>
          <w:r w:rsidRPr="00F464F0">
            <w:rPr>
              <w:rFonts w:ascii="Times New Roman" w:eastAsia="Times New Roman" w:hAnsi="Times New Roman" w:cs="Times New Roman"/>
              <w:color w:val="000000"/>
            </w:rPr>
            <w:t>Blendstocks</w:t>
          </w:r>
          <w:proofErr w:type="spellEnd"/>
          <w:r w:rsidRPr="00F464F0">
            <w:rPr>
              <w:rFonts w:ascii="Times New Roman" w:eastAsia="Times New Roman" w:hAnsi="Times New Roman" w:cs="Times New Roman"/>
              <w:color w:val="000000"/>
            </w:rPr>
            <w:t xml:space="preserve">. Green Chemistry </w:t>
          </w:r>
          <w:proofErr w:type="gramStart"/>
          <w:r w:rsidRPr="00F464F0">
            <w:rPr>
              <w:rFonts w:ascii="Times New Roman" w:eastAsia="Times New Roman" w:hAnsi="Times New Roman" w:cs="Times New Roman"/>
              <w:color w:val="000000"/>
            </w:rPr>
            <w:t>2017;19:1082</w:t>
          </w:r>
          <w:proofErr w:type="gramEnd"/>
          <w:r w:rsidRPr="00F464F0">
            <w:rPr>
              <w:rFonts w:ascii="Times New Roman" w:eastAsia="Times New Roman" w:hAnsi="Times New Roman" w:cs="Times New Roman"/>
              <w:color w:val="000000"/>
            </w:rPr>
            <w:t>–101. https://doi.org/10.1039/C6GC02800D.</w:t>
          </w:r>
        </w:p>
        <w:p w14:paraId="06D97442" w14:textId="77777777" w:rsidR="00F464F0" w:rsidRPr="00F464F0" w:rsidRDefault="00F464F0">
          <w:pPr>
            <w:autoSpaceDE w:val="0"/>
            <w:autoSpaceDN w:val="0"/>
            <w:ind w:hanging="640"/>
            <w:divId w:val="1001079700"/>
            <w:rPr>
              <w:rFonts w:ascii="Times New Roman" w:eastAsia="Times New Roman" w:hAnsi="Times New Roman" w:cs="Times New Roman"/>
              <w:color w:val="000000"/>
            </w:rPr>
          </w:pPr>
          <w:r w:rsidRPr="00F464F0">
            <w:rPr>
              <w:rFonts w:ascii="Times New Roman" w:eastAsia="Times New Roman" w:hAnsi="Times New Roman" w:cs="Times New Roman"/>
              <w:color w:val="000000"/>
            </w:rPr>
            <w:t>[26]</w:t>
          </w:r>
          <w:r w:rsidRPr="00F464F0">
            <w:rPr>
              <w:rFonts w:ascii="Times New Roman" w:eastAsia="Times New Roman" w:hAnsi="Times New Roman" w:cs="Times New Roman"/>
              <w:color w:val="000000"/>
            </w:rPr>
            <w:tab/>
            <w:t xml:space="preserve">Han J, Tao L, Wang M. Well-to-wake analysis of ethanol-to-jet and sugar-to-jet pathways. </w:t>
          </w:r>
          <w:proofErr w:type="spellStart"/>
          <w:r w:rsidRPr="00F464F0">
            <w:rPr>
              <w:rFonts w:ascii="Times New Roman" w:eastAsia="Times New Roman" w:hAnsi="Times New Roman" w:cs="Times New Roman"/>
              <w:color w:val="000000"/>
            </w:rPr>
            <w:t>Biotechnol</w:t>
          </w:r>
          <w:proofErr w:type="spellEnd"/>
          <w:r w:rsidRPr="00F464F0">
            <w:rPr>
              <w:rFonts w:ascii="Times New Roman" w:eastAsia="Times New Roman" w:hAnsi="Times New Roman" w:cs="Times New Roman"/>
              <w:color w:val="000000"/>
            </w:rPr>
            <w:t xml:space="preserve"> Biofuels 2017;10. https://doi.org/10.1186/S13068-017-0698-Z.</w:t>
          </w:r>
        </w:p>
        <w:p w14:paraId="5F4DB89A" w14:textId="77777777" w:rsidR="00F464F0" w:rsidRPr="00F464F0" w:rsidRDefault="00F464F0">
          <w:pPr>
            <w:autoSpaceDE w:val="0"/>
            <w:autoSpaceDN w:val="0"/>
            <w:ind w:hanging="640"/>
            <w:divId w:val="1220937987"/>
            <w:rPr>
              <w:rFonts w:ascii="Times New Roman" w:eastAsia="Times New Roman" w:hAnsi="Times New Roman" w:cs="Times New Roman"/>
              <w:color w:val="000000"/>
            </w:rPr>
          </w:pPr>
          <w:r w:rsidRPr="00F464F0">
            <w:rPr>
              <w:rFonts w:ascii="Times New Roman" w:eastAsia="Times New Roman" w:hAnsi="Times New Roman" w:cs="Times New Roman"/>
              <w:color w:val="000000"/>
            </w:rPr>
            <w:t>[27]</w:t>
          </w:r>
          <w:r w:rsidRPr="00F464F0">
            <w:rPr>
              <w:rFonts w:ascii="Times New Roman" w:eastAsia="Times New Roman" w:hAnsi="Times New Roman" w:cs="Times New Roman"/>
              <w:color w:val="000000"/>
            </w:rPr>
            <w:tab/>
            <w:t>2 CORSIA Handbook n.d.</w:t>
          </w:r>
        </w:p>
        <w:p w14:paraId="01191858" w14:textId="43AFE7BA" w:rsidR="00C6321D" w:rsidRDefault="00F464F0" w:rsidP="008D77CA">
          <w:pPr>
            <w:spacing w:line="240" w:lineRule="auto"/>
            <w:jc w:val="both"/>
            <w:rPr>
              <w:rFonts w:ascii="Times New Roman" w:hAnsi="Times New Roman" w:cs="Times New Roman"/>
            </w:rPr>
          </w:pPr>
          <w:r w:rsidRPr="00F464F0">
            <w:rPr>
              <w:rFonts w:ascii="Times New Roman" w:eastAsia="Times New Roman" w:hAnsi="Times New Roman" w:cs="Times New Roman"/>
              <w:color w:val="000000"/>
            </w:rPr>
            <w:t> </w:t>
          </w:r>
        </w:p>
      </w:sdtContent>
    </w:sdt>
    <w:p w14:paraId="2CFB402D" w14:textId="77777777" w:rsidR="000C69AD" w:rsidRDefault="000C69AD" w:rsidP="008D77CA">
      <w:pPr>
        <w:spacing w:line="240" w:lineRule="auto"/>
        <w:jc w:val="both"/>
        <w:rPr>
          <w:rFonts w:ascii="Times New Roman" w:hAnsi="Times New Roman" w:cs="Times New Roman"/>
        </w:rPr>
      </w:pPr>
    </w:p>
    <w:p w14:paraId="68110913" w14:textId="77777777" w:rsidR="000C69AD" w:rsidRDefault="000C69AD" w:rsidP="008D77CA">
      <w:pPr>
        <w:spacing w:line="240" w:lineRule="auto"/>
        <w:jc w:val="both"/>
        <w:rPr>
          <w:rFonts w:ascii="Times New Roman" w:hAnsi="Times New Roman" w:cs="Times New Roman"/>
        </w:rPr>
      </w:pPr>
    </w:p>
    <w:p w14:paraId="47B21EA4" w14:textId="77777777" w:rsidR="000C69AD" w:rsidRDefault="000C69AD" w:rsidP="008D77CA">
      <w:pPr>
        <w:spacing w:line="240" w:lineRule="auto"/>
        <w:jc w:val="both"/>
        <w:rPr>
          <w:rFonts w:ascii="Times New Roman" w:hAnsi="Times New Roman" w:cs="Times New Roman"/>
        </w:rPr>
      </w:pPr>
    </w:p>
    <w:p w14:paraId="28D6144B" w14:textId="77777777" w:rsidR="00442ADA" w:rsidRPr="00442ADA" w:rsidRDefault="00442ADA" w:rsidP="00442ADA">
      <w:pPr>
        <w:rPr>
          <w:rFonts w:ascii="Times New Roman" w:hAnsi="Times New Roman" w:cs="Times New Roman"/>
        </w:rPr>
      </w:pPr>
    </w:p>
    <w:p w14:paraId="0CFD84B9" w14:textId="77777777" w:rsidR="00442ADA" w:rsidRPr="00442ADA" w:rsidRDefault="00442ADA" w:rsidP="00442ADA">
      <w:pPr>
        <w:rPr>
          <w:rFonts w:ascii="Times New Roman" w:hAnsi="Times New Roman" w:cs="Times New Roman"/>
        </w:rPr>
      </w:pPr>
    </w:p>
    <w:p w14:paraId="5230ED51" w14:textId="77777777" w:rsidR="00442ADA" w:rsidRPr="00442ADA" w:rsidRDefault="00442ADA" w:rsidP="00442ADA">
      <w:pPr>
        <w:rPr>
          <w:rFonts w:ascii="Times New Roman" w:hAnsi="Times New Roman" w:cs="Times New Roman"/>
        </w:rPr>
      </w:pPr>
    </w:p>
    <w:p w14:paraId="216CD3C7" w14:textId="77777777" w:rsidR="00442ADA" w:rsidRDefault="00442ADA" w:rsidP="00442ADA">
      <w:pPr>
        <w:rPr>
          <w:rFonts w:ascii="Times New Roman" w:hAnsi="Times New Roman" w:cs="Times New Roman"/>
        </w:rPr>
      </w:pPr>
    </w:p>
    <w:p w14:paraId="4D28CC83" w14:textId="58CCC766" w:rsidR="00442ADA" w:rsidRDefault="00442ADA" w:rsidP="00442ADA">
      <w:pPr>
        <w:tabs>
          <w:tab w:val="left" w:pos="6314"/>
        </w:tabs>
        <w:rPr>
          <w:rFonts w:ascii="Times New Roman" w:hAnsi="Times New Roman" w:cs="Times New Roman"/>
        </w:rPr>
      </w:pPr>
    </w:p>
    <w:p w14:paraId="376322AA" w14:textId="77777777" w:rsidR="00442ADA" w:rsidRDefault="00442ADA" w:rsidP="00442ADA">
      <w:pPr>
        <w:tabs>
          <w:tab w:val="left" w:pos="6314"/>
        </w:tabs>
        <w:rPr>
          <w:rFonts w:ascii="Times New Roman" w:hAnsi="Times New Roman" w:cs="Times New Roman"/>
        </w:rPr>
      </w:pPr>
    </w:p>
    <w:p w14:paraId="20A9E0D3" w14:textId="77777777" w:rsidR="00442ADA" w:rsidRDefault="00442ADA" w:rsidP="00442ADA">
      <w:pPr>
        <w:tabs>
          <w:tab w:val="left" w:pos="6314"/>
        </w:tabs>
        <w:rPr>
          <w:rFonts w:ascii="Times New Roman" w:hAnsi="Times New Roman" w:cs="Times New Roman"/>
        </w:rPr>
      </w:pPr>
    </w:p>
    <w:p w14:paraId="6C117F1B" w14:textId="77777777" w:rsidR="00442ADA" w:rsidRDefault="00442ADA" w:rsidP="00442ADA">
      <w:pPr>
        <w:tabs>
          <w:tab w:val="left" w:pos="6314"/>
        </w:tabs>
        <w:rPr>
          <w:rFonts w:ascii="Times New Roman" w:hAnsi="Times New Roman" w:cs="Times New Roman"/>
        </w:rPr>
      </w:pPr>
    </w:p>
    <w:p w14:paraId="01EADCF1" w14:textId="77777777" w:rsidR="00442ADA" w:rsidRPr="00442ADA" w:rsidRDefault="00442ADA" w:rsidP="00442ADA">
      <w:pPr>
        <w:tabs>
          <w:tab w:val="left" w:pos="6314"/>
        </w:tabs>
        <w:rPr>
          <w:rFonts w:ascii="Times New Roman" w:hAnsi="Times New Roman" w:cs="Times New Roman"/>
        </w:rPr>
      </w:pPr>
    </w:p>
    <w:sectPr w:rsidR="00442ADA" w:rsidRPr="00442ADA" w:rsidSect="009E70A8">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CA"/>
    <w:rsid w:val="00003AC8"/>
    <w:rsid w:val="00005868"/>
    <w:rsid w:val="00023889"/>
    <w:rsid w:val="00026C9D"/>
    <w:rsid w:val="00035914"/>
    <w:rsid w:val="0005423E"/>
    <w:rsid w:val="00063CF8"/>
    <w:rsid w:val="00063D6F"/>
    <w:rsid w:val="000719C8"/>
    <w:rsid w:val="00094A7C"/>
    <w:rsid w:val="000C69AD"/>
    <w:rsid w:val="000D3692"/>
    <w:rsid w:val="000E0066"/>
    <w:rsid w:val="000E442C"/>
    <w:rsid w:val="0011059B"/>
    <w:rsid w:val="001118A0"/>
    <w:rsid w:val="001278BD"/>
    <w:rsid w:val="00134589"/>
    <w:rsid w:val="00135B2F"/>
    <w:rsid w:val="00144764"/>
    <w:rsid w:val="001656F7"/>
    <w:rsid w:val="001A0B59"/>
    <w:rsid w:val="001A0F2F"/>
    <w:rsid w:val="001D2D44"/>
    <w:rsid w:val="00201838"/>
    <w:rsid w:val="00211EFC"/>
    <w:rsid w:val="00227815"/>
    <w:rsid w:val="002529BE"/>
    <w:rsid w:val="00255D33"/>
    <w:rsid w:val="002712C3"/>
    <w:rsid w:val="00281EC5"/>
    <w:rsid w:val="002B1A96"/>
    <w:rsid w:val="002B6543"/>
    <w:rsid w:val="002C6631"/>
    <w:rsid w:val="002C6DD1"/>
    <w:rsid w:val="002D3D4A"/>
    <w:rsid w:val="002E0F76"/>
    <w:rsid w:val="002E241E"/>
    <w:rsid w:val="003220BA"/>
    <w:rsid w:val="0036257E"/>
    <w:rsid w:val="00392419"/>
    <w:rsid w:val="003B015A"/>
    <w:rsid w:val="003C36AE"/>
    <w:rsid w:val="0041030C"/>
    <w:rsid w:val="00426C4B"/>
    <w:rsid w:val="00442ADA"/>
    <w:rsid w:val="0045252B"/>
    <w:rsid w:val="0046748E"/>
    <w:rsid w:val="004923FB"/>
    <w:rsid w:val="00496C21"/>
    <w:rsid w:val="004F19EC"/>
    <w:rsid w:val="004F6D50"/>
    <w:rsid w:val="00514B32"/>
    <w:rsid w:val="00537639"/>
    <w:rsid w:val="0054442F"/>
    <w:rsid w:val="00572E4C"/>
    <w:rsid w:val="005741CB"/>
    <w:rsid w:val="00586049"/>
    <w:rsid w:val="005A0F5E"/>
    <w:rsid w:val="005B4E89"/>
    <w:rsid w:val="005C18B0"/>
    <w:rsid w:val="005F63E8"/>
    <w:rsid w:val="006217B5"/>
    <w:rsid w:val="00630437"/>
    <w:rsid w:val="006429B1"/>
    <w:rsid w:val="00670512"/>
    <w:rsid w:val="00685ADE"/>
    <w:rsid w:val="00697D08"/>
    <w:rsid w:val="006A5DFF"/>
    <w:rsid w:val="006E502C"/>
    <w:rsid w:val="006F126C"/>
    <w:rsid w:val="006F1C41"/>
    <w:rsid w:val="007165C3"/>
    <w:rsid w:val="00725E4C"/>
    <w:rsid w:val="00735141"/>
    <w:rsid w:val="007354AE"/>
    <w:rsid w:val="00757017"/>
    <w:rsid w:val="007703CB"/>
    <w:rsid w:val="00772AED"/>
    <w:rsid w:val="00797226"/>
    <w:rsid w:val="007D7011"/>
    <w:rsid w:val="007F53AF"/>
    <w:rsid w:val="00804B4F"/>
    <w:rsid w:val="00806974"/>
    <w:rsid w:val="00810153"/>
    <w:rsid w:val="00855D86"/>
    <w:rsid w:val="008576E8"/>
    <w:rsid w:val="008A7AE9"/>
    <w:rsid w:val="008A7ECE"/>
    <w:rsid w:val="008D77CA"/>
    <w:rsid w:val="008E22E4"/>
    <w:rsid w:val="008F3FD9"/>
    <w:rsid w:val="008F4BD4"/>
    <w:rsid w:val="00900EE2"/>
    <w:rsid w:val="0090122B"/>
    <w:rsid w:val="00947E2F"/>
    <w:rsid w:val="0096258B"/>
    <w:rsid w:val="00964F36"/>
    <w:rsid w:val="00971417"/>
    <w:rsid w:val="00976632"/>
    <w:rsid w:val="00993F74"/>
    <w:rsid w:val="009B5737"/>
    <w:rsid w:val="009D4EBF"/>
    <w:rsid w:val="009E47E3"/>
    <w:rsid w:val="009E70A8"/>
    <w:rsid w:val="009F0255"/>
    <w:rsid w:val="00A004AA"/>
    <w:rsid w:val="00A11EEA"/>
    <w:rsid w:val="00A15909"/>
    <w:rsid w:val="00A454AC"/>
    <w:rsid w:val="00A8285E"/>
    <w:rsid w:val="00A9788A"/>
    <w:rsid w:val="00AA6AC9"/>
    <w:rsid w:val="00AB3990"/>
    <w:rsid w:val="00AC1369"/>
    <w:rsid w:val="00AD6020"/>
    <w:rsid w:val="00AE2430"/>
    <w:rsid w:val="00AF45F0"/>
    <w:rsid w:val="00B132C8"/>
    <w:rsid w:val="00B17840"/>
    <w:rsid w:val="00B51909"/>
    <w:rsid w:val="00B70093"/>
    <w:rsid w:val="00B718C4"/>
    <w:rsid w:val="00B7645E"/>
    <w:rsid w:val="00B814E1"/>
    <w:rsid w:val="00B83AAE"/>
    <w:rsid w:val="00B83DE0"/>
    <w:rsid w:val="00B84BBF"/>
    <w:rsid w:val="00B90BFF"/>
    <w:rsid w:val="00BA320F"/>
    <w:rsid w:val="00BA4D63"/>
    <w:rsid w:val="00BE0DC1"/>
    <w:rsid w:val="00BF0031"/>
    <w:rsid w:val="00C12D7D"/>
    <w:rsid w:val="00C2534E"/>
    <w:rsid w:val="00C300C7"/>
    <w:rsid w:val="00C4441E"/>
    <w:rsid w:val="00C4702A"/>
    <w:rsid w:val="00C54256"/>
    <w:rsid w:val="00C5697A"/>
    <w:rsid w:val="00C608AA"/>
    <w:rsid w:val="00C6191A"/>
    <w:rsid w:val="00C629C2"/>
    <w:rsid w:val="00C6321D"/>
    <w:rsid w:val="00C8567C"/>
    <w:rsid w:val="00C92776"/>
    <w:rsid w:val="00CA67DB"/>
    <w:rsid w:val="00CD0A96"/>
    <w:rsid w:val="00CE14BB"/>
    <w:rsid w:val="00CE1C79"/>
    <w:rsid w:val="00CE630E"/>
    <w:rsid w:val="00D008F1"/>
    <w:rsid w:val="00D01620"/>
    <w:rsid w:val="00D028E6"/>
    <w:rsid w:val="00D052B7"/>
    <w:rsid w:val="00D17151"/>
    <w:rsid w:val="00D20863"/>
    <w:rsid w:val="00D234D4"/>
    <w:rsid w:val="00D24349"/>
    <w:rsid w:val="00D32A77"/>
    <w:rsid w:val="00D431B9"/>
    <w:rsid w:val="00D51575"/>
    <w:rsid w:val="00D878C8"/>
    <w:rsid w:val="00D94834"/>
    <w:rsid w:val="00D964CA"/>
    <w:rsid w:val="00E33EDF"/>
    <w:rsid w:val="00E347ED"/>
    <w:rsid w:val="00E538AE"/>
    <w:rsid w:val="00E548A3"/>
    <w:rsid w:val="00E60F02"/>
    <w:rsid w:val="00E90077"/>
    <w:rsid w:val="00E909E4"/>
    <w:rsid w:val="00EA7F8B"/>
    <w:rsid w:val="00EC48DA"/>
    <w:rsid w:val="00ED3F6B"/>
    <w:rsid w:val="00ED4E95"/>
    <w:rsid w:val="00F07BAD"/>
    <w:rsid w:val="00F236EB"/>
    <w:rsid w:val="00F23C09"/>
    <w:rsid w:val="00F31D05"/>
    <w:rsid w:val="00F410FB"/>
    <w:rsid w:val="00F45739"/>
    <w:rsid w:val="00F464F0"/>
    <w:rsid w:val="00F51CDF"/>
    <w:rsid w:val="00F76027"/>
    <w:rsid w:val="00FA1B76"/>
    <w:rsid w:val="00FB2179"/>
    <w:rsid w:val="00FE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B558"/>
  <w15:chartTrackingRefBased/>
  <w15:docId w15:val="{0C6F4A4F-7E31-43B6-B21A-028F67E1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7CA"/>
    <w:rPr>
      <w:rFonts w:eastAsiaTheme="majorEastAsia" w:cstheme="majorBidi"/>
      <w:color w:val="272727" w:themeColor="text1" w:themeTint="D8"/>
    </w:rPr>
  </w:style>
  <w:style w:type="paragraph" w:styleId="Title">
    <w:name w:val="Title"/>
    <w:basedOn w:val="Normal"/>
    <w:next w:val="Normal"/>
    <w:link w:val="TitleChar"/>
    <w:uiPriority w:val="10"/>
    <w:qFormat/>
    <w:rsid w:val="008D7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7CA"/>
    <w:pPr>
      <w:spacing w:before="160"/>
      <w:jc w:val="center"/>
    </w:pPr>
    <w:rPr>
      <w:i/>
      <w:iCs/>
      <w:color w:val="404040" w:themeColor="text1" w:themeTint="BF"/>
    </w:rPr>
  </w:style>
  <w:style w:type="character" w:customStyle="1" w:styleId="QuoteChar">
    <w:name w:val="Quote Char"/>
    <w:basedOn w:val="DefaultParagraphFont"/>
    <w:link w:val="Quote"/>
    <w:uiPriority w:val="29"/>
    <w:rsid w:val="008D77CA"/>
    <w:rPr>
      <w:i/>
      <w:iCs/>
      <w:color w:val="404040" w:themeColor="text1" w:themeTint="BF"/>
    </w:rPr>
  </w:style>
  <w:style w:type="paragraph" w:styleId="ListParagraph">
    <w:name w:val="List Paragraph"/>
    <w:basedOn w:val="Normal"/>
    <w:uiPriority w:val="34"/>
    <w:qFormat/>
    <w:rsid w:val="008D77CA"/>
    <w:pPr>
      <w:ind w:left="720"/>
      <w:contextualSpacing/>
    </w:pPr>
  </w:style>
  <w:style w:type="character" w:styleId="IntenseEmphasis">
    <w:name w:val="Intense Emphasis"/>
    <w:basedOn w:val="DefaultParagraphFont"/>
    <w:uiPriority w:val="21"/>
    <w:qFormat/>
    <w:rsid w:val="008D77CA"/>
    <w:rPr>
      <w:i/>
      <w:iCs/>
      <w:color w:val="0F4761" w:themeColor="accent1" w:themeShade="BF"/>
    </w:rPr>
  </w:style>
  <w:style w:type="paragraph" w:styleId="IntenseQuote">
    <w:name w:val="Intense Quote"/>
    <w:basedOn w:val="Normal"/>
    <w:next w:val="Normal"/>
    <w:link w:val="IntenseQuoteChar"/>
    <w:uiPriority w:val="30"/>
    <w:qFormat/>
    <w:rsid w:val="008D7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7CA"/>
    <w:rPr>
      <w:i/>
      <w:iCs/>
      <w:color w:val="0F4761" w:themeColor="accent1" w:themeShade="BF"/>
    </w:rPr>
  </w:style>
  <w:style w:type="character" w:styleId="IntenseReference">
    <w:name w:val="Intense Reference"/>
    <w:basedOn w:val="DefaultParagraphFont"/>
    <w:uiPriority w:val="32"/>
    <w:qFormat/>
    <w:rsid w:val="008D77CA"/>
    <w:rPr>
      <w:b/>
      <w:bCs/>
      <w:smallCaps/>
      <w:color w:val="0F4761" w:themeColor="accent1" w:themeShade="BF"/>
      <w:spacing w:val="5"/>
    </w:rPr>
  </w:style>
  <w:style w:type="paragraph" w:styleId="Caption">
    <w:name w:val="caption"/>
    <w:basedOn w:val="Normal"/>
    <w:next w:val="Normal"/>
    <w:uiPriority w:val="35"/>
    <w:unhideWhenUsed/>
    <w:qFormat/>
    <w:rsid w:val="008D77CA"/>
    <w:pPr>
      <w:spacing w:after="200" w:line="240" w:lineRule="auto"/>
    </w:pPr>
    <w:rPr>
      <w:i/>
      <w:iCs/>
      <w:color w:val="0E2841" w:themeColor="text2"/>
      <w:sz w:val="18"/>
      <w:szCs w:val="18"/>
    </w:rPr>
  </w:style>
  <w:style w:type="table" w:styleId="TableGrid">
    <w:name w:val="Table Grid"/>
    <w:basedOn w:val="TableNormal"/>
    <w:uiPriority w:val="59"/>
    <w:rsid w:val="008D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69AD"/>
    <w:rPr>
      <w:color w:val="666666"/>
    </w:rPr>
  </w:style>
  <w:style w:type="character" w:styleId="LineNumber">
    <w:name w:val="line number"/>
    <w:basedOn w:val="DefaultParagraphFont"/>
    <w:uiPriority w:val="99"/>
    <w:semiHidden/>
    <w:unhideWhenUsed/>
    <w:rsid w:val="009E7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677">
      <w:marLeft w:val="640"/>
      <w:marRight w:val="0"/>
      <w:marTop w:val="0"/>
      <w:marBottom w:val="0"/>
      <w:divBdr>
        <w:top w:val="none" w:sz="0" w:space="0" w:color="auto"/>
        <w:left w:val="none" w:sz="0" w:space="0" w:color="auto"/>
        <w:bottom w:val="none" w:sz="0" w:space="0" w:color="auto"/>
        <w:right w:val="none" w:sz="0" w:space="0" w:color="auto"/>
      </w:divBdr>
    </w:div>
    <w:div w:id="63571795">
      <w:marLeft w:val="640"/>
      <w:marRight w:val="0"/>
      <w:marTop w:val="0"/>
      <w:marBottom w:val="0"/>
      <w:divBdr>
        <w:top w:val="none" w:sz="0" w:space="0" w:color="auto"/>
        <w:left w:val="none" w:sz="0" w:space="0" w:color="auto"/>
        <w:bottom w:val="none" w:sz="0" w:space="0" w:color="auto"/>
        <w:right w:val="none" w:sz="0" w:space="0" w:color="auto"/>
      </w:divBdr>
    </w:div>
    <w:div w:id="67702283">
      <w:marLeft w:val="640"/>
      <w:marRight w:val="0"/>
      <w:marTop w:val="0"/>
      <w:marBottom w:val="0"/>
      <w:divBdr>
        <w:top w:val="none" w:sz="0" w:space="0" w:color="auto"/>
        <w:left w:val="none" w:sz="0" w:space="0" w:color="auto"/>
        <w:bottom w:val="none" w:sz="0" w:space="0" w:color="auto"/>
        <w:right w:val="none" w:sz="0" w:space="0" w:color="auto"/>
      </w:divBdr>
    </w:div>
    <w:div w:id="95365634">
      <w:marLeft w:val="640"/>
      <w:marRight w:val="0"/>
      <w:marTop w:val="0"/>
      <w:marBottom w:val="0"/>
      <w:divBdr>
        <w:top w:val="none" w:sz="0" w:space="0" w:color="auto"/>
        <w:left w:val="none" w:sz="0" w:space="0" w:color="auto"/>
        <w:bottom w:val="none" w:sz="0" w:space="0" w:color="auto"/>
        <w:right w:val="none" w:sz="0" w:space="0" w:color="auto"/>
      </w:divBdr>
    </w:div>
    <w:div w:id="137302785">
      <w:marLeft w:val="640"/>
      <w:marRight w:val="0"/>
      <w:marTop w:val="0"/>
      <w:marBottom w:val="0"/>
      <w:divBdr>
        <w:top w:val="none" w:sz="0" w:space="0" w:color="auto"/>
        <w:left w:val="none" w:sz="0" w:space="0" w:color="auto"/>
        <w:bottom w:val="none" w:sz="0" w:space="0" w:color="auto"/>
        <w:right w:val="none" w:sz="0" w:space="0" w:color="auto"/>
      </w:divBdr>
    </w:div>
    <w:div w:id="139346426">
      <w:marLeft w:val="640"/>
      <w:marRight w:val="0"/>
      <w:marTop w:val="0"/>
      <w:marBottom w:val="0"/>
      <w:divBdr>
        <w:top w:val="none" w:sz="0" w:space="0" w:color="auto"/>
        <w:left w:val="none" w:sz="0" w:space="0" w:color="auto"/>
        <w:bottom w:val="none" w:sz="0" w:space="0" w:color="auto"/>
        <w:right w:val="none" w:sz="0" w:space="0" w:color="auto"/>
      </w:divBdr>
    </w:div>
    <w:div w:id="153688144">
      <w:marLeft w:val="640"/>
      <w:marRight w:val="0"/>
      <w:marTop w:val="0"/>
      <w:marBottom w:val="0"/>
      <w:divBdr>
        <w:top w:val="none" w:sz="0" w:space="0" w:color="auto"/>
        <w:left w:val="none" w:sz="0" w:space="0" w:color="auto"/>
        <w:bottom w:val="none" w:sz="0" w:space="0" w:color="auto"/>
        <w:right w:val="none" w:sz="0" w:space="0" w:color="auto"/>
      </w:divBdr>
    </w:div>
    <w:div w:id="155802853">
      <w:marLeft w:val="640"/>
      <w:marRight w:val="0"/>
      <w:marTop w:val="0"/>
      <w:marBottom w:val="0"/>
      <w:divBdr>
        <w:top w:val="none" w:sz="0" w:space="0" w:color="auto"/>
        <w:left w:val="none" w:sz="0" w:space="0" w:color="auto"/>
        <w:bottom w:val="none" w:sz="0" w:space="0" w:color="auto"/>
        <w:right w:val="none" w:sz="0" w:space="0" w:color="auto"/>
      </w:divBdr>
    </w:div>
    <w:div w:id="183445484">
      <w:marLeft w:val="640"/>
      <w:marRight w:val="0"/>
      <w:marTop w:val="0"/>
      <w:marBottom w:val="0"/>
      <w:divBdr>
        <w:top w:val="none" w:sz="0" w:space="0" w:color="auto"/>
        <w:left w:val="none" w:sz="0" w:space="0" w:color="auto"/>
        <w:bottom w:val="none" w:sz="0" w:space="0" w:color="auto"/>
        <w:right w:val="none" w:sz="0" w:space="0" w:color="auto"/>
      </w:divBdr>
    </w:div>
    <w:div w:id="235088566">
      <w:marLeft w:val="640"/>
      <w:marRight w:val="0"/>
      <w:marTop w:val="0"/>
      <w:marBottom w:val="0"/>
      <w:divBdr>
        <w:top w:val="none" w:sz="0" w:space="0" w:color="auto"/>
        <w:left w:val="none" w:sz="0" w:space="0" w:color="auto"/>
        <w:bottom w:val="none" w:sz="0" w:space="0" w:color="auto"/>
        <w:right w:val="none" w:sz="0" w:space="0" w:color="auto"/>
      </w:divBdr>
    </w:div>
    <w:div w:id="237060483">
      <w:marLeft w:val="640"/>
      <w:marRight w:val="0"/>
      <w:marTop w:val="0"/>
      <w:marBottom w:val="0"/>
      <w:divBdr>
        <w:top w:val="none" w:sz="0" w:space="0" w:color="auto"/>
        <w:left w:val="none" w:sz="0" w:space="0" w:color="auto"/>
        <w:bottom w:val="none" w:sz="0" w:space="0" w:color="auto"/>
        <w:right w:val="none" w:sz="0" w:space="0" w:color="auto"/>
      </w:divBdr>
    </w:div>
    <w:div w:id="238254443">
      <w:marLeft w:val="640"/>
      <w:marRight w:val="0"/>
      <w:marTop w:val="0"/>
      <w:marBottom w:val="0"/>
      <w:divBdr>
        <w:top w:val="none" w:sz="0" w:space="0" w:color="auto"/>
        <w:left w:val="none" w:sz="0" w:space="0" w:color="auto"/>
        <w:bottom w:val="none" w:sz="0" w:space="0" w:color="auto"/>
        <w:right w:val="none" w:sz="0" w:space="0" w:color="auto"/>
      </w:divBdr>
    </w:div>
    <w:div w:id="261256432">
      <w:marLeft w:val="640"/>
      <w:marRight w:val="0"/>
      <w:marTop w:val="0"/>
      <w:marBottom w:val="0"/>
      <w:divBdr>
        <w:top w:val="none" w:sz="0" w:space="0" w:color="auto"/>
        <w:left w:val="none" w:sz="0" w:space="0" w:color="auto"/>
        <w:bottom w:val="none" w:sz="0" w:space="0" w:color="auto"/>
        <w:right w:val="none" w:sz="0" w:space="0" w:color="auto"/>
      </w:divBdr>
    </w:div>
    <w:div w:id="290399220">
      <w:marLeft w:val="640"/>
      <w:marRight w:val="0"/>
      <w:marTop w:val="0"/>
      <w:marBottom w:val="0"/>
      <w:divBdr>
        <w:top w:val="none" w:sz="0" w:space="0" w:color="auto"/>
        <w:left w:val="none" w:sz="0" w:space="0" w:color="auto"/>
        <w:bottom w:val="none" w:sz="0" w:space="0" w:color="auto"/>
        <w:right w:val="none" w:sz="0" w:space="0" w:color="auto"/>
      </w:divBdr>
    </w:div>
    <w:div w:id="290747820">
      <w:marLeft w:val="640"/>
      <w:marRight w:val="0"/>
      <w:marTop w:val="0"/>
      <w:marBottom w:val="0"/>
      <w:divBdr>
        <w:top w:val="none" w:sz="0" w:space="0" w:color="auto"/>
        <w:left w:val="none" w:sz="0" w:space="0" w:color="auto"/>
        <w:bottom w:val="none" w:sz="0" w:space="0" w:color="auto"/>
        <w:right w:val="none" w:sz="0" w:space="0" w:color="auto"/>
      </w:divBdr>
    </w:div>
    <w:div w:id="303780209">
      <w:marLeft w:val="640"/>
      <w:marRight w:val="0"/>
      <w:marTop w:val="0"/>
      <w:marBottom w:val="0"/>
      <w:divBdr>
        <w:top w:val="none" w:sz="0" w:space="0" w:color="auto"/>
        <w:left w:val="none" w:sz="0" w:space="0" w:color="auto"/>
        <w:bottom w:val="none" w:sz="0" w:space="0" w:color="auto"/>
        <w:right w:val="none" w:sz="0" w:space="0" w:color="auto"/>
      </w:divBdr>
    </w:div>
    <w:div w:id="305167601">
      <w:marLeft w:val="640"/>
      <w:marRight w:val="0"/>
      <w:marTop w:val="0"/>
      <w:marBottom w:val="0"/>
      <w:divBdr>
        <w:top w:val="none" w:sz="0" w:space="0" w:color="auto"/>
        <w:left w:val="none" w:sz="0" w:space="0" w:color="auto"/>
        <w:bottom w:val="none" w:sz="0" w:space="0" w:color="auto"/>
        <w:right w:val="none" w:sz="0" w:space="0" w:color="auto"/>
      </w:divBdr>
    </w:div>
    <w:div w:id="319581689">
      <w:marLeft w:val="640"/>
      <w:marRight w:val="0"/>
      <w:marTop w:val="0"/>
      <w:marBottom w:val="0"/>
      <w:divBdr>
        <w:top w:val="none" w:sz="0" w:space="0" w:color="auto"/>
        <w:left w:val="none" w:sz="0" w:space="0" w:color="auto"/>
        <w:bottom w:val="none" w:sz="0" w:space="0" w:color="auto"/>
        <w:right w:val="none" w:sz="0" w:space="0" w:color="auto"/>
      </w:divBdr>
    </w:div>
    <w:div w:id="355039129">
      <w:marLeft w:val="640"/>
      <w:marRight w:val="0"/>
      <w:marTop w:val="0"/>
      <w:marBottom w:val="0"/>
      <w:divBdr>
        <w:top w:val="none" w:sz="0" w:space="0" w:color="auto"/>
        <w:left w:val="none" w:sz="0" w:space="0" w:color="auto"/>
        <w:bottom w:val="none" w:sz="0" w:space="0" w:color="auto"/>
        <w:right w:val="none" w:sz="0" w:space="0" w:color="auto"/>
      </w:divBdr>
    </w:div>
    <w:div w:id="359009447">
      <w:marLeft w:val="640"/>
      <w:marRight w:val="0"/>
      <w:marTop w:val="0"/>
      <w:marBottom w:val="0"/>
      <w:divBdr>
        <w:top w:val="none" w:sz="0" w:space="0" w:color="auto"/>
        <w:left w:val="none" w:sz="0" w:space="0" w:color="auto"/>
        <w:bottom w:val="none" w:sz="0" w:space="0" w:color="auto"/>
        <w:right w:val="none" w:sz="0" w:space="0" w:color="auto"/>
      </w:divBdr>
    </w:div>
    <w:div w:id="362099227">
      <w:marLeft w:val="640"/>
      <w:marRight w:val="0"/>
      <w:marTop w:val="0"/>
      <w:marBottom w:val="0"/>
      <w:divBdr>
        <w:top w:val="none" w:sz="0" w:space="0" w:color="auto"/>
        <w:left w:val="none" w:sz="0" w:space="0" w:color="auto"/>
        <w:bottom w:val="none" w:sz="0" w:space="0" w:color="auto"/>
        <w:right w:val="none" w:sz="0" w:space="0" w:color="auto"/>
      </w:divBdr>
    </w:div>
    <w:div w:id="401878151">
      <w:marLeft w:val="640"/>
      <w:marRight w:val="0"/>
      <w:marTop w:val="0"/>
      <w:marBottom w:val="0"/>
      <w:divBdr>
        <w:top w:val="none" w:sz="0" w:space="0" w:color="auto"/>
        <w:left w:val="none" w:sz="0" w:space="0" w:color="auto"/>
        <w:bottom w:val="none" w:sz="0" w:space="0" w:color="auto"/>
        <w:right w:val="none" w:sz="0" w:space="0" w:color="auto"/>
      </w:divBdr>
    </w:div>
    <w:div w:id="421414400">
      <w:marLeft w:val="640"/>
      <w:marRight w:val="0"/>
      <w:marTop w:val="0"/>
      <w:marBottom w:val="0"/>
      <w:divBdr>
        <w:top w:val="none" w:sz="0" w:space="0" w:color="auto"/>
        <w:left w:val="none" w:sz="0" w:space="0" w:color="auto"/>
        <w:bottom w:val="none" w:sz="0" w:space="0" w:color="auto"/>
        <w:right w:val="none" w:sz="0" w:space="0" w:color="auto"/>
      </w:divBdr>
    </w:div>
    <w:div w:id="445008659">
      <w:marLeft w:val="640"/>
      <w:marRight w:val="0"/>
      <w:marTop w:val="0"/>
      <w:marBottom w:val="0"/>
      <w:divBdr>
        <w:top w:val="none" w:sz="0" w:space="0" w:color="auto"/>
        <w:left w:val="none" w:sz="0" w:space="0" w:color="auto"/>
        <w:bottom w:val="none" w:sz="0" w:space="0" w:color="auto"/>
        <w:right w:val="none" w:sz="0" w:space="0" w:color="auto"/>
      </w:divBdr>
    </w:div>
    <w:div w:id="457529733">
      <w:marLeft w:val="640"/>
      <w:marRight w:val="0"/>
      <w:marTop w:val="0"/>
      <w:marBottom w:val="0"/>
      <w:divBdr>
        <w:top w:val="none" w:sz="0" w:space="0" w:color="auto"/>
        <w:left w:val="none" w:sz="0" w:space="0" w:color="auto"/>
        <w:bottom w:val="none" w:sz="0" w:space="0" w:color="auto"/>
        <w:right w:val="none" w:sz="0" w:space="0" w:color="auto"/>
      </w:divBdr>
    </w:div>
    <w:div w:id="463352244">
      <w:marLeft w:val="640"/>
      <w:marRight w:val="0"/>
      <w:marTop w:val="0"/>
      <w:marBottom w:val="0"/>
      <w:divBdr>
        <w:top w:val="none" w:sz="0" w:space="0" w:color="auto"/>
        <w:left w:val="none" w:sz="0" w:space="0" w:color="auto"/>
        <w:bottom w:val="none" w:sz="0" w:space="0" w:color="auto"/>
        <w:right w:val="none" w:sz="0" w:space="0" w:color="auto"/>
      </w:divBdr>
    </w:div>
    <w:div w:id="478156126">
      <w:marLeft w:val="640"/>
      <w:marRight w:val="0"/>
      <w:marTop w:val="0"/>
      <w:marBottom w:val="0"/>
      <w:divBdr>
        <w:top w:val="none" w:sz="0" w:space="0" w:color="auto"/>
        <w:left w:val="none" w:sz="0" w:space="0" w:color="auto"/>
        <w:bottom w:val="none" w:sz="0" w:space="0" w:color="auto"/>
        <w:right w:val="none" w:sz="0" w:space="0" w:color="auto"/>
      </w:divBdr>
    </w:div>
    <w:div w:id="508061470">
      <w:marLeft w:val="640"/>
      <w:marRight w:val="0"/>
      <w:marTop w:val="0"/>
      <w:marBottom w:val="0"/>
      <w:divBdr>
        <w:top w:val="none" w:sz="0" w:space="0" w:color="auto"/>
        <w:left w:val="none" w:sz="0" w:space="0" w:color="auto"/>
        <w:bottom w:val="none" w:sz="0" w:space="0" w:color="auto"/>
        <w:right w:val="none" w:sz="0" w:space="0" w:color="auto"/>
      </w:divBdr>
    </w:div>
    <w:div w:id="526064909">
      <w:marLeft w:val="640"/>
      <w:marRight w:val="0"/>
      <w:marTop w:val="0"/>
      <w:marBottom w:val="0"/>
      <w:divBdr>
        <w:top w:val="none" w:sz="0" w:space="0" w:color="auto"/>
        <w:left w:val="none" w:sz="0" w:space="0" w:color="auto"/>
        <w:bottom w:val="none" w:sz="0" w:space="0" w:color="auto"/>
        <w:right w:val="none" w:sz="0" w:space="0" w:color="auto"/>
      </w:divBdr>
    </w:div>
    <w:div w:id="534780580">
      <w:marLeft w:val="640"/>
      <w:marRight w:val="0"/>
      <w:marTop w:val="0"/>
      <w:marBottom w:val="0"/>
      <w:divBdr>
        <w:top w:val="none" w:sz="0" w:space="0" w:color="auto"/>
        <w:left w:val="none" w:sz="0" w:space="0" w:color="auto"/>
        <w:bottom w:val="none" w:sz="0" w:space="0" w:color="auto"/>
        <w:right w:val="none" w:sz="0" w:space="0" w:color="auto"/>
      </w:divBdr>
    </w:div>
    <w:div w:id="573049189">
      <w:marLeft w:val="640"/>
      <w:marRight w:val="0"/>
      <w:marTop w:val="0"/>
      <w:marBottom w:val="0"/>
      <w:divBdr>
        <w:top w:val="none" w:sz="0" w:space="0" w:color="auto"/>
        <w:left w:val="none" w:sz="0" w:space="0" w:color="auto"/>
        <w:bottom w:val="none" w:sz="0" w:space="0" w:color="auto"/>
        <w:right w:val="none" w:sz="0" w:space="0" w:color="auto"/>
      </w:divBdr>
    </w:div>
    <w:div w:id="609122227">
      <w:marLeft w:val="640"/>
      <w:marRight w:val="0"/>
      <w:marTop w:val="0"/>
      <w:marBottom w:val="0"/>
      <w:divBdr>
        <w:top w:val="none" w:sz="0" w:space="0" w:color="auto"/>
        <w:left w:val="none" w:sz="0" w:space="0" w:color="auto"/>
        <w:bottom w:val="none" w:sz="0" w:space="0" w:color="auto"/>
        <w:right w:val="none" w:sz="0" w:space="0" w:color="auto"/>
      </w:divBdr>
    </w:div>
    <w:div w:id="617446456">
      <w:marLeft w:val="640"/>
      <w:marRight w:val="0"/>
      <w:marTop w:val="0"/>
      <w:marBottom w:val="0"/>
      <w:divBdr>
        <w:top w:val="none" w:sz="0" w:space="0" w:color="auto"/>
        <w:left w:val="none" w:sz="0" w:space="0" w:color="auto"/>
        <w:bottom w:val="none" w:sz="0" w:space="0" w:color="auto"/>
        <w:right w:val="none" w:sz="0" w:space="0" w:color="auto"/>
      </w:divBdr>
    </w:div>
    <w:div w:id="626131877">
      <w:marLeft w:val="640"/>
      <w:marRight w:val="0"/>
      <w:marTop w:val="0"/>
      <w:marBottom w:val="0"/>
      <w:divBdr>
        <w:top w:val="none" w:sz="0" w:space="0" w:color="auto"/>
        <w:left w:val="none" w:sz="0" w:space="0" w:color="auto"/>
        <w:bottom w:val="none" w:sz="0" w:space="0" w:color="auto"/>
        <w:right w:val="none" w:sz="0" w:space="0" w:color="auto"/>
      </w:divBdr>
    </w:div>
    <w:div w:id="629289356">
      <w:marLeft w:val="640"/>
      <w:marRight w:val="0"/>
      <w:marTop w:val="0"/>
      <w:marBottom w:val="0"/>
      <w:divBdr>
        <w:top w:val="none" w:sz="0" w:space="0" w:color="auto"/>
        <w:left w:val="none" w:sz="0" w:space="0" w:color="auto"/>
        <w:bottom w:val="none" w:sz="0" w:space="0" w:color="auto"/>
        <w:right w:val="none" w:sz="0" w:space="0" w:color="auto"/>
      </w:divBdr>
    </w:div>
    <w:div w:id="634916930">
      <w:marLeft w:val="640"/>
      <w:marRight w:val="0"/>
      <w:marTop w:val="0"/>
      <w:marBottom w:val="0"/>
      <w:divBdr>
        <w:top w:val="none" w:sz="0" w:space="0" w:color="auto"/>
        <w:left w:val="none" w:sz="0" w:space="0" w:color="auto"/>
        <w:bottom w:val="none" w:sz="0" w:space="0" w:color="auto"/>
        <w:right w:val="none" w:sz="0" w:space="0" w:color="auto"/>
      </w:divBdr>
    </w:div>
    <w:div w:id="708652120">
      <w:marLeft w:val="640"/>
      <w:marRight w:val="0"/>
      <w:marTop w:val="0"/>
      <w:marBottom w:val="0"/>
      <w:divBdr>
        <w:top w:val="none" w:sz="0" w:space="0" w:color="auto"/>
        <w:left w:val="none" w:sz="0" w:space="0" w:color="auto"/>
        <w:bottom w:val="none" w:sz="0" w:space="0" w:color="auto"/>
        <w:right w:val="none" w:sz="0" w:space="0" w:color="auto"/>
      </w:divBdr>
    </w:div>
    <w:div w:id="730226244">
      <w:marLeft w:val="640"/>
      <w:marRight w:val="0"/>
      <w:marTop w:val="0"/>
      <w:marBottom w:val="0"/>
      <w:divBdr>
        <w:top w:val="none" w:sz="0" w:space="0" w:color="auto"/>
        <w:left w:val="none" w:sz="0" w:space="0" w:color="auto"/>
        <w:bottom w:val="none" w:sz="0" w:space="0" w:color="auto"/>
        <w:right w:val="none" w:sz="0" w:space="0" w:color="auto"/>
      </w:divBdr>
    </w:div>
    <w:div w:id="741413711">
      <w:marLeft w:val="640"/>
      <w:marRight w:val="0"/>
      <w:marTop w:val="0"/>
      <w:marBottom w:val="0"/>
      <w:divBdr>
        <w:top w:val="none" w:sz="0" w:space="0" w:color="auto"/>
        <w:left w:val="none" w:sz="0" w:space="0" w:color="auto"/>
        <w:bottom w:val="none" w:sz="0" w:space="0" w:color="auto"/>
        <w:right w:val="none" w:sz="0" w:space="0" w:color="auto"/>
      </w:divBdr>
    </w:div>
    <w:div w:id="748039867">
      <w:marLeft w:val="640"/>
      <w:marRight w:val="0"/>
      <w:marTop w:val="0"/>
      <w:marBottom w:val="0"/>
      <w:divBdr>
        <w:top w:val="none" w:sz="0" w:space="0" w:color="auto"/>
        <w:left w:val="none" w:sz="0" w:space="0" w:color="auto"/>
        <w:bottom w:val="none" w:sz="0" w:space="0" w:color="auto"/>
        <w:right w:val="none" w:sz="0" w:space="0" w:color="auto"/>
      </w:divBdr>
    </w:div>
    <w:div w:id="768429817">
      <w:marLeft w:val="640"/>
      <w:marRight w:val="0"/>
      <w:marTop w:val="0"/>
      <w:marBottom w:val="0"/>
      <w:divBdr>
        <w:top w:val="none" w:sz="0" w:space="0" w:color="auto"/>
        <w:left w:val="none" w:sz="0" w:space="0" w:color="auto"/>
        <w:bottom w:val="none" w:sz="0" w:space="0" w:color="auto"/>
        <w:right w:val="none" w:sz="0" w:space="0" w:color="auto"/>
      </w:divBdr>
    </w:div>
    <w:div w:id="776994946">
      <w:marLeft w:val="640"/>
      <w:marRight w:val="0"/>
      <w:marTop w:val="0"/>
      <w:marBottom w:val="0"/>
      <w:divBdr>
        <w:top w:val="none" w:sz="0" w:space="0" w:color="auto"/>
        <w:left w:val="none" w:sz="0" w:space="0" w:color="auto"/>
        <w:bottom w:val="none" w:sz="0" w:space="0" w:color="auto"/>
        <w:right w:val="none" w:sz="0" w:space="0" w:color="auto"/>
      </w:divBdr>
    </w:div>
    <w:div w:id="778986270">
      <w:marLeft w:val="640"/>
      <w:marRight w:val="0"/>
      <w:marTop w:val="0"/>
      <w:marBottom w:val="0"/>
      <w:divBdr>
        <w:top w:val="none" w:sz="0" w:space="0" w:color="auto"/>
        <w:left w:val="none" w:sz="0" w:space="0" w:color="auto"/>
        <w:bottom w:val="none" w:sz="0" w:space="0" w:color="auto"/>
        <w:right w:val="none" w:sz="0" w:space="0" w:color="auto"/>
      </w:divBdr>
    </w:div>
    <w:div w:id="839005307">
      <w:marLeft w:val="640"/>
      <w:marRight w:val="0"/>
      <w:marTop w:val="0"/>
      <w:marBottom w:val="0"/>
      <w:divBdr>
        <w:top w:val="none" w:sz="0" w:space="0" w:color="auto"/>
        <w:left w:val="none" w:sz="0" w:space="0" w:color="auto"/>
        <w:bottom w:val="none" w:sz="0" w:space="0" w:color="auto"/>
        <w:right w:val="none" w:sz="0" w:space="0" w:color="auto"/>
      </w:divBdr>
    </w:div>
    <w:div w:id="839277939">
      <w:marLeft w:val="640"/>
      <w:marRight w:val="0"/>
      <w:marTop w:val="0"/>
      <w:marBottom w:val="0"/>
      <w:divBdr>
        <w:top w:val="none" w:sz="0" w:space="0" w:color="auto"/>
        <w:left w:val="none" w:sz="0" w:space="0" w:color="auto"/>
        <w:bottom w:val="none" w:sz="0" w:space="0" w:color="auto"/>
        <w:right w:val="none" w:sz="0" w:space="0" w:color="auto"/>
      </w:divBdr>
    </w:div>
    <w:div w:id="846015133">
      <w:marLeft w:val="640"/>
      <w:marRight w:val="0"/>
      <w:marTop w:val="0"/>
      <w:marBottom w:val="0"/>
      <w:divBdr>
        <w:top w:val="none" w:sz="0" w:space="0" w:color="auto"/>
        <w:left w:val="none" w:sz="0" w:space="0" w:color="auto"/>
        <w:bottom w:val="none" w:sz="0" w:space="0" w:color="auto"/>
        <w:right w:val="none" w:sz="0" w:space="0" w:color="auto"/>
      </w:divBdr>
    </w:div>
    <w:div w:id="846137854">
      <w:marLeft w:val="640"/>
      <w:marRight w:val="0"/>
      <w:marTop w:val="0"/>
      <w:marBottom w:val="0"/>
      <w:divBdr>
        <w:top w:val="none" w:sz="0" w:space="0" w:color="auto"/>
        <w:left w:val="none" w:sz="0" w:space="0" w:color="auto"/>
        <w:bottom w:val="none" w:sz="0" w:space="0" w:color="auto"/>
        <w:right w:val="none" w:sz="0" w:space="0" w:color="auto"/>
      </w:divBdr>
    </w:div>
    <w:div w:id="855922475">
      <w:marLeft w:val="640"/>
      <w:marRight w:val="0"/>
      <w:marTop w:val="0"/>
      <w:marBottom w:val="0"/>
      <w:divBdr>
        <w:top w:val="none" w:sz="0" w:space="0" w:color="auto"/>
        <w:left w:val="none" w:sz="0" w:space="0" w:color="auto"/>
        <w:bottom w:val="none" w:sz="0" w:space="0" w:color="auto"/>
        <w:right w:val="none" w:sz="0" w:space="0" w:color="auto"/>
      </w:divBdr>
    </w:div>
    <w:div w:id="904802748">
      <w:marLeft w:val="640"/>
      <w:marRight w:val="0"/>
      <w:marTop w:val="0"/>
      <w:marBottom w:val="0"/>
      <w:divBdr>
        <w:top w:val="none" w:sz="0" w:space="0" w:color="auto"/>
        <w:left w:val="none" w:sz="0" w:space="0" w:color="auto"/>
        <w:bottom w:val="none" w:sz="0" w:space="0" w:color="auto"/>
        <w:right w:val="none" w:sz="0" w:space="0" w:color="auto"/>
      </w:divBdr>
    </w:div>
    <w:div w:id="917635204">
      <w:marLeft w:val="640"/>
      <w:marRight w:val="0"/>
      <w:marTop w:val="0"/>
      <w:marBottom w:val="0"/>
      <w:divBdr>
        <w:top w:val="none" w:sz="0" w:space="0" w:color="auto"/>
        <w:left w:val="none" w:sz="0" w:space="0" w:color="auto"/>
        <w:bottom w:val="none" w:sz="0" w:space="0" w:color="auto"/>
        <w:right w:val="none" w:sz="0" w:space="0" w:color="auto"/>
      </w:divBdr>
    </w:div>
    <w:div w:id="966934905">
      <w:marLeft w:val="640"/>
      <w:marRight w:val="0"/>
      <w:marTop w:val="0"/>
      <w:marBottom w:val="0"/>
      <w:divBdr>
        <w:top w:val="none" w:sz="0" w:space="0" w:color="auto"/>
        <w:left w:val="none" w:sz="0" w:space="0" w:color="auto"/>
        <w:bottom w:val="none" w:sz="0" w:space="0" w:color="auto"/>
        <w:right w:val="none" w:sz="0" w:space="0" w:color="auto"/>
      </w:divBdr>
    </w:div>
    <w:div w:id="1001079700">
      <w:marLeft w:val="640"/>
      <w:marRight w:val="0"/>
      <w:marTop w:val="0"/>
      <w:marBottom w:val="0"/>
      <w:divBdr>
        <w:top w:val="none" w:sz="0" w:space="0" w:color="auto"/>
        <w:left w:val="none" w:sz="0" w:space="0" w:color="auto"/>
        <w:bottom w:val="none" w:sz="0" w:space="0" w:color="auto"/>
        <w:right w:val="none" w:sz="0" w:space="0" w:color="auto"/>
      </w:divBdr>
    </w:div>
    <w:div w:id="1001659002">
      <w:marLeft w:val="640"/>
      <w:marRight w:val="0"/>
      <w:marTop w:val="0"/>
      <w:marBottom w:val="0"/>
      <w:divBdr>
        <w:top w:val="none" w:sz="0" w:space="0" w:color="auto"/>
        <w:left w:val="none" w:sz="0" w:space="0" w:color="auto"/>
        <w:bottom w:val="none" w:sz="0" w:space="0" w:color="auto"/>
        <w:right w:val="none" w:sz="0" w:space="0" w:color="auto"/>
      </w:divBdr>
    </w:div>
    <w:div w:id="1004087701">
      <w:marLeft w:val="640"/>
      <w:marRight w:val="0"/>
      <w:marTop w:val="0"/>
      <w:marBottom w:val="0"/>
      <w:divBdr>
        <w:top w:val="none" w:sz="0" w:space="0" w:color="auto"/>
        <w:left w:val="none" w:sz="0" w:space="0" w:color="auto"/>
        <w:bottom w:val="none" w:sz="0" w:space="0" w:color="auto"/>
        <w:right w:val="none" w:sz="0" w:space="0" w:color="auto"/>
      </w:divBdr>
    </w:div>
    <w:div w:id="1020281257">
      <w:marLeft w:val="640"/>
      <w:marRight w:val="0"/>
      <w:marTop w:val="0"/>
      <w:marBottom w:val="0"/>
      <w:divBdr>
        <w:top w:val="none" w:sz="0" w:space="0" w:color="auto"/>
        <w:left w:val="none" w:sz="0" w:space="0" w:color="auto"/>
        <w:bottom w:val="none" w:sz="0" w:space="0" w:color="auto"/>
        <w:right w:val="none" w:sz="0" w:space="0" w:color="auto"/>
      </w:divBdr>
    </w:div>
    <w:div w:id="1035085782">
      <w:marLeft w:val="640"/>
      <w:marRight w:val="0"/>
      <w:marTop w:val="0"/>
      <w:marBottom w:val="0"/>
      <w:divBdr>
        <w:top w:val="none" w:sz="0" w:space="0" w:color="auto"/>
        <w:left w:val="none" w:sz="0" w:space="0" w:color="auto"/>
        <w:bottom w:val="none" w:sz="0" w:space="0" w:color="auto"/>
        <w:right w:val="none" w:sz="0" w:space="0" w:color="auto"/>
      </w:divBdr>
    </w:div>
    <w:div w:id="1061826129">
      <w:marLeft w:val="640"/>
      <w:marRight w:val="0"/>
      <w:marTop w:val="0"/>
      <w:marBottom w:val="0"/>
      <w:divBdr>
        <w:top w:val="none" w:sz="0" w:space="0" w:color="auto"/>
        <w:left w:val="none" w:sz="0" w:space="0" w:color="auto"/>
        <w:bottom w:val="none" w:sz="0" w:space="0" w:color="auto"/>
        <w:right w:val="none" w:sz="0" w:space="0" w:color="auto"/>
      </w:divBdr>
    </w:div>
    <w:div w:id="1064522994">
      <w:marLeft w:val="640"/>
      <w:marRight w:val="0"/>
      <w:marTop w:val="0"/>
      <w:marBottom w:val="0"/>
      <w:divBdr>
        <w:top w:val="none" w:sz="0" w:space="0" w:color="auto"/>
        <w:left w:val="none" w:sz="0" w:space="0" w:color="auto"/>
        <w:bottom w:val="none" w:sz="0" w:space="0" w:color="auto"/>
        <w:right w:val="none" w:sz="0" w:space="0" w:color="auto"/>
      </w:divBdr>
    </w:div>
    <w:div w:id="1141993838">
      <w:marLeft w:val="640"/>
      <w:marRight w:val="0"/>
      <w:marTop w:val="0"/>
      <w:marBottom w:val="0"/>
      <w:divBdr>
        <w:top w:val="none" w:sz="0" w:space="0" w:color="auto"/>
        <w:left w:val="none" w:sz="0" w:space="0" w:color="auto"/>
        <w:bottom w:val="none" w:sz="0" w:space="0" w:color="auto"/>
        <w:right w:val="none" w:sz="0" w:space="0" w:color="auto"/>
      </w:divBdr>
    </w:div>
    <w:div w:id="1146048480">
      <w:marLeft w:val="640"/>
      <w:marRight w:val="0"/>
      <w:marTop w:val="0"/>
      <w:marBottom w:val="0"/>
      <w:divBdr>
        <w:top w:val="none" w:sz="0" w:space="0" w:color="auto"/>
        <w:left w:val="none" w:sz="0" w:space="0" w:color="auto"/>
        <w:bottom w:val="none" w:sz="0" w:space="0" w:color="auto"/>
        <w:right w:val="none" w:sz="0" w:space="0" w:color="auto"/>
      </w:divBdr>
    </w:div>
    <w:div w:id="1167403313">
      <w:marLeft w:val="640"/>
      <w:marRight w:val="0"/>
      <w:marTop w:val="0"/>
      <w:marBottom w:val="0"/>
      <w:divBdr>
        <w:top w:val="none" w:sz="0" w:space="0" w:color="auto"/>
        <w:left w:val="none" w:sz="0" w:space="0" w:color="auto"/>
        <w:bottom w:val="none" w:sz="0" w:space="0" w:color="auto"/>
        <w:right w:val="none" w:sz="0" w:space="0" w:color="auto"/>
      </w:divBdr>
    </w:div>
    <w:div w:id="1187794541">
      <w:marLeft w:val="640"/>
      <w:marRight w:val="0"/>
      <w:marTop w:val="0"/>
      <w:marBottom w:val="0"/>
      <w:divBdr>
        <w:top w:val="none" w:sz="0" w:space="0" w:color="auto"/>
        <w:left w:val="none" w:sz="0" w:space="0" w:color="auto"/>
        <w:bottom w:val="none" w:sz="0" w:space="0" w:color="auto"/>
        <w:right w:val="none" w:sz="0" w:space="0" w:color="auto"/>
      </w:divBdr>
    </w:div>
    <w:div w:id="1198349109">
      <w:marLeft w:val="640"/>
      <w:marRight w:val="0"/>
      <w:marTop w:val="0"/>
      <w:marBottom w:val="0"/>
      <w:divBdr>
        <w:top w:val="none" w:sz="0" w:space="0" w:color="auto"/>
        <w:left w:val="none" w:sz="0" w:space="0" w:color="auto"/>
        <w:bottom w:val="none" w:sz="0" w:space="0" w:color="auto"/>
        <w:right w:val="none" w:sz="0" w:space="0" w:color="auto"/>
      </w:divBdr>
    </w:div>
    <w:div w:id="1204253425">
      <w:marLeft w:val="640"/>
      <w:marRight w:val="0"/>
      <w:marTop w:val="0"/>
      <w:marBottom w:val="0"/>
      <w:divBdr>
        <w:top w:val="none" w:sz="0" w:space="0" w:color="auto"/>
        <w:left w:val="none" w:sz="0" w:space="0" w:color="auto"/>
        <w:bottom w:val="none" w:sz="0" w:space="0" w:color="auto"/>
        <w:right w:val="none" w:sz="0" w:space="0" w:color="auto"/>
      </w:divBdr>
    </w:div>
    <w:div w:id="1213348517">
      <w:marLeft w:val="640"/>
      <w:marRight w:val="0"/>
      <w:marTop w:val="0"/>
      <w:marBottom w:val="0"/>
      <w:divBdr>
        <w:top w:val="none" w:sz="0" w:space="0" w:color="auto"/>
        <w:left w:val="none" w:sz="0" w:space="0" w:color="auto"/>
        <w:bottom w:val="none" w:sz="0" w:space="0" w:color="auto"/>
        <w:right w:val="none" w:sz="0" w:space="0" w:color="auto"/>
      </w:divBdr>
    </w:div>
    <w:div w:id="1220937987">
      <w:marLeft w:val="640"/>
      <w:marRight w:val="0"/>
      <w:marTop w:val="0"/>
      <w:marBottom w:val="0"/>
      <w:divBdr>
        <w:top w:val="none" w:sz="0" w:space="0" w:color="auto"/>
        <w:left w:val="none" w:sz="0" w:space="0" w:color="auto"/>
        <w:bottom w:val="none" w:sz="0" w:space="0" w:color="auto"/>
        <w:right w:val="none" w:sz="0" w:space="0" w:color="auto"/>
      </w:divBdr>
    </w:div>
    <w:div w:id="1241790516">
      <w:marLeft w:val="640"/>
      <w:marRight w:val="0"/>
      <w:marTop w:val="0"/>
      <w:marBottom w:val="0"/>
      <w:divBdr>
        <w:top w:val="none" w:sz="0" w:space="0" w:color="auto"/>
        <w:left w:val="none" w:sz="0" w:space="0" w:color="auto"/>
        <w:bottom w:val="none" w:sz="0" w:space="0" w:color="auto"/>
        <w:right w:val="none" w:sz="0" w:space="0" w:color="auto"/>
      </w:divBdr>
    </w:div>
    <w:div w:id="1244339095">
      <w:marLeft w:val="640"/>
      <w:marRight w:val="0"/>
      <w:marTop w:val="0"/>
      <w:marBottom w:val="0"/>
      <w:divBdr>
        <w:top w:val="none" w:sz="0" w:space="0" w:color="auto"/>
        <w:left w:val="none" w:sz="0" w:space="0" w:color="auto"/>
        <w:bottom w:val="none" w:sz="0" w:space="0" w:color="auto"/>
        <w:right w:val="none" w:sz="0" w:space="0" w:color="auto"/>
      </w:divBdr>
    </w:div>
    <w:div w:id="1263609569">
      <w:marLeft w:val="640"/>
      <w:marRight w:val="0"/>
      <w:marTop w:val="0"/>
      <w:marBottom w:val="0"/>
      <w:divBdr>
        <w:top w:val="none" w:sz="0" w:space="0" w:color="auto"/>
        <w:left w:val="none" w:sz="0" w:space="0" w:color="auto"/>
        <w:bottom w:val="none" w:sz="0" w:space="0" w:color="auto"/>
        <w:right w:val="none" w:sz="0" w:space="0" w:color="auto"/>
      </w:divBdr>
    </w:div>
    <w:div w:id="1274248484">
      <w:marLeft w:val="640"/>
      <w:marRight w:val="0"/>
      <w:marTop w:val="0"/>
      <w:marBottom w:val="0"/>
      <w:divBdr>
        <w:top w:val="none" w:sz="0" w:space="0" w:color="auto"/>
        <w:left w:val="none" w:sz="0" w:space="0" w:color="auto"/>
        <w:bottom w:val="none" w:sz="0" w:space="0" w:color="auto"/>
        <w:right w:val="none" w:sz="0" w:space="0" w:color="auto"/>
      </w:divBdr>
    </w:div>
    <w:div w:id="1293094167">
      <w:marLeft w:val="640"/>
      <w:marRight w:val="0"/>
      <w:marTop w:val="0"/>
      <w:marBottom w:val="0"/>
      <w:divBdr>
        <w:top w:val="none" w:sz="0" w:space="0" w:color="auto"/>
        <w:left w:val="none" w:sz="0" w:space="0" w:color="auto"/>
        <w:bottom w:val="none" w:sz="0" w:space="0" w:color="auto"/>
        <w:right w:val="none" w:sz="0" w:space="0" w:color="auto"/>
      </w:divBdr>
    </w:div>
    <w:div w:id="1302494359">
      <w:marLeft w:val="640"/>
      <w:marRight w:val="0"/>
      <w:marTop w:val="0"/>
      <w:marBottom w:val="0"/>
      <w:divBdr>
        <w:top w:val="none" w:sz="0" w:space="0" w:color="auto"/>
        <w:left w:val="none" w:sz="0" w:space="0" w:color="auto"/>
        <w:bottom w:val="none" w:sz="0" w:space="0" w:color="auto"/>
        <w:right w:val="none" w:sz="0" w:space="0" w:color="auto"/>
      </w:divBdr>
    </w:div>
    <w:div w:id="1340161526">
      <w:marLeft w:val="640"/>
      <w:marRight w:val="0"/>
      <w:marTop w:val="0"/>
      <w:marBottom w:val="0"/>
      <w:divBdr>
        <w:top w:val="none" w:sz="0" w:space="0" w:color="auto"/>
        <w:left w:val="none" w:sz="0" w:space="0" w:color="auto"/>
        <w:bottom w:val="none" w:sz="0" w:space="0" w:color="auto"/>
        <w:right w:val="none" w:sz="0" w:space="0" w:color="auto"/>
      </w:divBdr>
    </w:div>
    <w:div w:id="1346010059">
      <w:marLeft w:val="640"/>
      <w:marRight w:val="0"/>
      <w:marTop w:val="0"/>
      <w:marBottom w:val="0"/>
      <w:divBdr>
        <w:top w:val="none" w:sz="0" w:space="0" w:color="auto"/>
        <w:left w:val="none" w:sz="0" w:space="0" w:color="auto"/>
        <w:bottom w:val="none" w:sz="0" w:space="0" w:color="auto"/>
        <w:right w:val="none" w:sz="0" w:space="0" w:color="auto"/>
      </w:divBdr>
    </w:div>
    <w:div w:id="1367292015">
      <w:marLeft w:val="640"/>
      <w:marRight w:val="0"/>
      <w:marTop w:val="0"/>
      <w:marBottom w:val="0"/>
      <w:divBdr>
        <w:top w:val="none" w:sz="0" w:space="0" w:color="auto"/>
        <w:left w:val="none" w:sz="0" w:space="0" w:color="auto"/>
        <w:bottom w:val="none" w:sz="0" w:space="0" w:color="auto"/>
        <w:right w:val="none" w:sz="0" w:space="0" w:color="auto"/>
      </w:divBdr>
    </w:div>
    <w:div w:id="1402485306">
      <w:marLeft w:val="640"/>
      <w:marRight w:val="0"/>
      <w:marTop w:val="0"/>
      <w:marBottom w:val="0"/>
      <w:divBdr>
        <w:top w:val="none" w:sz="0" w:space="0" w:color="auto"/>
        <w:left w:val="none" w:sz="0" w:space="0" w:color="auto"/>
        <w:bottom w:val="none" w:sz="0" w:space="0" w:color="auto"/>
        <w:right w:val="none" w:sz="0" w:space="0" w:color="auto"/>
      </w:divBdr>
    </w:div>
    <w:div w:id="1413158447">
      <w:marLeft w:val="640"/>
      <w:marRight w:val="0"/>
      <w:marTop w:val="0"/>
      <w:marBottom w:val="0"/>
      <w:divBdr>
        <w:top w:val="none" w:sz="0" w:space="0" w:color="auto"/>
        <w:left w:val="none" w:sz="0" w:space="0" w:color="auto"/>
        <w:bottom w:val="none" w:sz="0" w:space="0" w:color="auto"/>
        <w:right w:val="none" w:sz="0" w:space="0" w:color="auto"/>
      </w:divBdr>
    </w:div>
    <w:div w:id="1428650080">
      <w:marLeft w:val="640"/>
      <w:marRight w:val="0"/>
      <w:marTop w:val="0"/>
      <w:marBottom w:val="0"/>
      <w:divBdr>
        <w:top w:val="none" w:sz="0" w:space="0" w:color="auto"/>
        <w:left w:val="none" w:sz="0" w:space="0" w:color="auto"/>
        <w:bottom w:val="none" w:sz="0" w:space="0" w:color="auto"/>
        <w:right w:val="none" w:sz="0" w:space="0" w:color="auto"/>
      </w:divBdr>
    </w:div>
    <w:div w:id="1465151682">
      <w:marLeft w:val="640"/>
      <w:marRight w:val="0"/>
      <w:marTop w:val="0"/>
      <w:marBottom w:val="0"/>
      <w:divBdr>
        <w:top w:val="none" w:sz="0" w:space="0" w:color="auto"/>
        <w:left w:val="none" w:sz="0" w:space="0" w:color="auto"/>
        <w:bottom w:val="none" w:sz="0" w:space="0" w:color="auto"/>
        <w:right w:val="none" w:sz="0" w:space="0" w:color="auto"/>
      </w:divBdr>
    </w:div>
    <w:div w:id="1503083504">
      <w:marLeft w:val="640"/>
      <w:marRight w:val="0"/>
      <w:marTop w:val="0"/>
      <w:marBottom w:val="0"/>
      <w:divBdr>
        <w:top w:val="none" w:sz="0" w:space="0" w:color="auto"/>
        <w:left w:val="none" w:sz="0" w:space="0" w:color="auto"/>
        <w:bottom w:val="none" w:sz="0" w:space="0" w:color="auto"/>
        <w:right w:val="none" w:sz="0" w:space="0" w:color="auto"/>
      </w:divBdr>
    </w:div>
    <w:div w:id="1528057506">
      <w:marLeft w:val="640"/>
      <w:marRight w:val="0"/>
      <w:marTop w:val="0"/>
      <w:marBottom w:val="0"/>
      <w:divBdr>
        <w:top w:val="none" w:sz="0" w:space="0" w:color="auto"/>
        <w:left w:val="none" w:sz="0" w:space="0" w:color="auto"/>
        <w:bottom w:val="none" w:sz="0" w:space="0" w:color="auto"/>
        <w:right w:val="none" w:sz="0" w:space="0" w:color="auto"/>
      </w:divBdr>
    </w:div>
    <w:div w:id="1559123037">
      <w:marLeft w:val="640"/>
      <w:marRight w:val="0"/>
      <w:marTop w:val="0"/>
      <w:marBottom w:val="0"/>
      <w:divBdr>
        <w:top w:val="none" w:sz="0" w:space="0" w:color="auto"/>
        <w:left w:val="none" w:sz="0" w:space="0" w:color="auto"/>
        <w:bottom w:val="none" w:sz="0" w:space="0" w:color="auto"/>
        <w:right w:val="none" w:sz="0" w:space="0" w:color="auto"/>
      </w:divBdr>
    </w:div>
    <w:div w:id="1598754567">
      <w:marLeft w:val="640"/>
      <w:marRight w:val="0"/>
      <w:marTop w:val="0"/>
      <w:marBottom w:val="0"/>
      <w:divBdr>
        <w:top w:val="none" w:sz="0" w:space="0" w:color="auto"/>
        <w:left w:val="none" w:sz="0" w:space="0" w:color="auto"/>
        <w:bottom w:val="none" w:sz="0" w:space="0" w:color="auto"/>
        <w:right w:val="none" w:sz="0" w:space="0" w:color="auto"/>
      </w:divBdr>
    </w:div>
    <w:div w:id="1603801156">
      <w:marLeft w:val="640"/>
      <w:marRight w:val="0"/>
      <w:marTop w:val="0"/>
      <w:marBottom w:val="0"/>
      <w:divBdr>
        <w:top w:val="none" w:sz="0" w:space="0" w:color="auto"/>
        <w:left w:val="none" w:sz="0" w:space="0" w:color="auto"/>
        <w:bottom w:val="none" w:sz="0" w:space="0" w:color="auto"/>
        <w:right w:val="none" w:sz="0" w:space="0" w:color="auto"/>
      </w:divBdr>
    </w:div>
    <w:div w:id="1607887111">
      <w:marLeft w:val="640"/>
      <w:marRight w:val="0"/>
      <w:marTop w:val="0"/>
      <w:marBottom w:val="0"/>
      <w:divBdr>
        <w:top w:val="none" w:sz="0" w:space="0" w:color="auto"/>
        <w:left w:val="none" w:sz="0" w:space="0" w:color="auto"/>
        <w:bottom w:val="none" w:sz="0" w:space="0" w:color="auto"/>
        <w:right w:val="none" w:sz="0" w:space="0" w:color="auto"/>
      </w:divBdr>
    </w:div>
    <w:div w:id="1615937045">
      <w:marLeft w:val="640"/>
      <w:marRight w:val="0"/>
      <w:marTop w:val="0"/>
      <w:marBottom w:val="0"/>
      <w:divBdr>
        <w:top w:val="none" w:sz="0" w:space="0" w:color="auto"/>
        <w:left w:val="none" w:sz="0" w:space="0" w:color="auto"/>
        <w:bottom w:val="none" w:sz="0" w:space="0" w:color="auto"/>
        <w:right w:val="none" w:sz="0" w:space="0" w:color="auto"/>
      </w:divBdr>
    </w:div>
    <w:div w:id="1616909750">
      <w:marLeft w:val="640"/>
      <w:marRight w:val="0"/>
      <w:marTop w:val="0"/>
      <w:marBottom w:val="0"/>
      <w:divBdr>
        <w:top w:val="none" w:sz="0" w:space="0" w:color="auto"/>
        <w:left w:val="none" w:sz="0" w:space="0" w:color="auto"/>
        <w:bottom w:val="none" w:sz="0" w:space="0" w:color="auto"/>
        <w:right w:val="none" w:sz="0" w:space="0" w:color="auto"/>
      </w:divBdr>
    </w:div>
    <w:div w:id="1624118667">
      <w:marLeft w:val="640"/>
      <w:marRight w:val="0"/>
      <w:marTop w:val="0"/>
      <w:marBottom w:val="0"/>
      <w:divBdr>
        <w:top w:val="none" w:sz="0" w:space="0" w:color="auto"/>
        <w:left w:val="none" w:sz="0" w:space="0" w:color="auto"/>
        <w:bottom w:val="none" w:sz="0" w:space="0" w:color="auto"/>
        <w:right w:val="none" w:sz="0" w:space="0" w:color="auto"/>
      </w:divBdr>
    </w:div>
    <w:div w:id="1652059556">
      <w:marLeft w:val="640"/>
      <w:marRight w:val="0"/>
      <w:marTop w:val="0"/>
      <w:marBottom w:val="0"/>
      <w:divBdr>
        <w:top w:val="none" w:sz="0" w:space="0" w:color="auto"/>
        <w:left w:val="none" w:sz="0" w:space="0" w:color="auto"/>
        <w:bottom w:val="none" w:sz="0" w:space="0" w:color="auto"/>
        <w:right w:val="none" w:sz="0" w:space="0" w:color="auto"/>
      </w:divBdr>
    </w:div>
    <w:div w:id="1671986200">
      <w:marLeft w:val="640"/>
      <w:marRight w:val="0"/>
      <w:marTop w:val="0"/>
      <w:marBottom w:val="0"/>
      <w:divBdr>
        <w:top w:val="none" w:sz="0" w:space="0" w:color="auto"/>
        <w:left w:val="none" w:sz="0" w:space="0" w:color="auto"/>
        <w:bottom w:val="none" w:sz="0" w:space="0" w:color="auto"/>
        <w:right w:val="none" w:sz="0" w:space="0" w:color="auto"/>
      </w:divBdr>
    </w:div>
    <w:div w:id="1688483850">
      <w:marLeft w:val="640"/>
      <w:marRight w:val="0"/>
      <w:marTop w:val="0"/>
      <w:marBottom w:val="0"/>
      <w:divBdr>
        <w:top w:val="none" w:sz="0" w:space="0" w:color="auto"/>
        <w:left w:val="none" w:sz="0" w:space="0" w:color="auto"/>
        <w:bottom w:val="none" w:sz="0" w:space="0" w:color="auto"/>
        <w:right w:val="none" w:sz="0" w:space="0" w:color="auto"/>
      </w:divBdr>
    </w:div>
    <w:div w:id="1705207667">
      <w:marLeft w:val="640"/>
      <w:marRight w:val="0"/>
      <w:marTop w:val="0"/>
      <w:marBottom w:val="0"/>
      <w:divBdr>
        <w:top w:val="none" w:sz="0" w:space="0" w:color="auto"/>
        <w:left w:val="none" w:sz="0" w:space="0" w:color="auto"/>
        <w:bottom w:val="none" w:sz="0" w:space="0" w:color="auto"/>
        <w:right w:val="none" w:sz="0" w:space="0" w:color="auto"/>
      </w:divBdr>
    </w:div>
    <w:div w:id="1737823157">
      <w:marLeft w:val="640"/>
      <w:marRight w:val="0"/>
      <w:marTop w:val="0"/>
      <w:marBottom w:val="0"/>
      <w:divBdr>
        <w:top w:val="none" w:sz="0" w:space="0" w:color="auto"/>
        <w:left w:val="none" w:sz="0" w:space="0" w:color="auto"/>
        <w:bottom w:val="none" w:sz="0" w:space="0" w:color="auto"/>
        <w:right w:val="none" w:sz="0" w:space="0" w:color="auto"/>
      </w:divBdr>
    </w:div>
    <w:div w:id="1764836303">
      <w:marLeft w:val="640"/>
      <w:marRight w:val="0"/>
      <w:marTop w:val="0"/>
      <w:marBottom w:val="0"/>
      <w:divBdr>
        <w:top w:val="none" w:sz="0" w:space="0" w:color="auto"/>
        <w:left w:val="none" w:sz="0" w:space="0" w:color="auto"/>
        <w:bottom w:val="none" w:sz="0" w:space="0" w:color="auto"/>
        <w:right w:val="none" w:sz="0" w:space="0" w:color="auto"/>
      </w:divBdr>
    </w:div>
    <w:div w:id="1766533842">
      <w:marLeft w:val="640"/>
      <w:marRight w:val="0"/>
      <w:marTop w:val="0"/>
      <w:marBottom w:val="0"/>
      <w:divBdr>
        <w:top w:val="none" w:sz="0" w:space="0" w:color="auto"/>
        <w:left w:val="none" w:sz="0" w:space="0" w:color="auto"/>
        <w:bottom w:val="none" w:sz="0" w:space="0" w:color="auto"/>
        <w:right w:val="none" w:sz="0" w:space="0" w:color="auto"/>
      </w:divBdr>
    </w:div>
    <w:div w:id="1796556429">
      <w:marLeft w:val="640"/>
      <w:marRight w:val="0"/>
      <w:marTop w:val="0"/>
      <w:marBottom w:val="0"/>
      <w:divBdr>
        <w:top w:val="none" w:sz="0" w:space="0" w:color="auto"/>
        <w:left w:val="none" w:sz="0" w:space="0" w:color="auto"/>
        <w:bottom w:val="none" w:sz="0" w:space="0" w:color="auto"/>
        <w:right w:val="none" w:sz="0" w:space="0" w:color="auto"/>
      </w:divBdr>
    </w:div>
    <w:div w:id="1845440170">
      <w:marLeft w:val="640"/>
      <w:marRight w:val="0"/>
      <w:marTop w:val="0"/>
      <w:marBottom w:val="0"/>
      <w:divBdr>
        <w:top w:val="none" w:sz="0" w:space="0" w:color="auto"/>
        <w:left w:val="none" w:sz="0" w:space="0" w:color="auto"/>
        <w:bottom w:val="none" w:sz="0" w:space="0" w:color="auto"/>
        <w:right w:val="none" w:sz="0" w:space="0" w:color="auto"/>
      </w:divBdr>
    </w:div>
    <w:div w:id="1877429451">
      <w:marLeft w:val="640"/>
      <w:marRight w:val="0"/>
      <w:marTop w:val="0"/>
      <w:marBottom w:val="0"/>
      <w:divBdr>
        <w:top w:val="none" w:sz="0" w:space="0" w:color="auto"/>
        <w:left w:val="none" w:sz="0" w:space="0" w:color="auto"/>
        <w:bottom w:val="none" w:sz="0" w:space="0" w:color="auto"/>
        <w:right w:val="none" w:sz="0" w:space="0" w:color="auto"/>
      </w:divBdr>
    </w:div>
    <w:div w:id="1901281934">
      <w:marLeft w:val="640"/>
      <w:marRight w:val="0"/>
      <w:marTop w:val="0"/>
      <w:marBottom w:val="0"/>
      <w:divBdr>
        <w:top w:val="none" w:sz="0" w:space="0" w:color="auto"/>
        <w:left w:val="none" w:sz="0" w:space="0" w:color="auto"/>
        <w:bottom w:val="none" w:sz="0" w:space="0" w:color="auto"/>
        <w:right w:val="none" w:sz="0" w:space="0" w:color="auto"/>
      </w:divBdr>
    </w:div>
    <w:div w:id="1910920135">
      <w:marLeft w:val="640"/>
      <w:marRight w:val="0"/>
      <w:marTop w:val="0"/>
      <w:marBottom w:val="0"/>
      <w:divBdr>
        <w:top w:val="none" w:sz="0" w:space="0" w:color="auto"/>
        <w:left w:val="none" w:sz="0" w:space="0" w:color="auto"/>
        <w:bottom w:val="none" w:sz="0" w:space="0" w:color="auto"/>
        <w:right w:val="none" w:sz="0" w:space="0" w:color="auto"/>
      </w:divBdr>
    </w:div>
    <w:div w:id="1947037046">
      <w:marLeft w:val="640"/>
      <w:marRight w:val="0"/>
      <w:marTop w:val="0"/>
      <w:marBottom w:val="0"/>
      <w:divBdr>
        <w:top w:val="none" w:sz="0" w:space="0" w:color="auto"/>
        <w:left w:val="none" w:sz="0" w:space="0" w:color="auto"/>
        <w:bottom w:val="none" w:sz="0" w:space="0" w:color="auto"/>
        <w:right w:val="none" w:sz="0" w:space="0" w:color="auto"/>
      </w:divBdr>
    </w:div>
    <w:div w:id="1948348838">
      <w:marLeft w:val="640"/>
      <w:marRight w:val="0"/>
      <w:marTop w:val="0"/>
      <w:marBottom w:val="0"/>
      <w:divBdr>
        <w:top w:val="none" w:sz="0" w:space="0" w:color="auto"/>
        <w:left w:val="none" w:sz="0" w:space="0" w:color="auto"/>
        <w:bottom w:val="none" w:sz="0" w:space="0" w:color="auto"/>
        <w:right w:val="none" w:sz="0" w:space="0" w:color="auto"/>
      </w:divBdr>
    </w:div>
    <w:div w:id="1957565696">
      <w:marLeft w:val="640"/>
      <w:marRight w:val="0"/>
      <w:marTop w:val="0"/>
      <w:marBottom w:val="0"/>
      <w:divBdr>
        <w:top w:val="none" w:sz="0" w:space="0" w:color="auto"/>
        <w:left w:val="none" w:sz="0" w:space="0" w:color="auto"/>
        <w:bottom w:val="none" w:sz="0" w:space="0" w:color="auto"/>
        <w:right w:val="none" w:sz="0" w:space="0" w:color="auto"/>
      </w:divBdr>
    </w:div>
    <w:div w:id="1965233708">
      <w:marLeft w:val="640"/>
      <w:marRight w:val="0"/>
      <w:marTop w:val="0"/>
      <w:marBottom w:val="0"/>
      <w:divBdr>
        <w:top w:val="none" w:sz="0" w:space="0" w:color="auto"/>
        <w:left w:val="none" w:sz="0" w:space="0" w:color="auto"/>
        <w:bottom w:val="none" w:sz="0" w:space="0" w:color="auto"/>
        <w:right w:val="none" w:sz="0" w:space="0" w:color="auto"/>
      </w:divBdr>
    </w:div>
    <w:div w:id="1965497335">
      <w:marLeft w:val="640"/>
      <w:marRight w:val="0"/>
      <w:marTop w:val="0"/>
      <w:marBottom w:val="0"/>
      <w:divBdr>
        <w:top w:val="none" w:sz="0" w:space="0" w:color="auto"/>
        <w:left w:val="none" w:sz="0" w:space="0" w:color="auto"/>
        <w:bottom w:val="none" w:sz="0" w:space="0" w:color="auto"/>
        <w:right w:val="none" w:sz="0" w:space="0" w:color="auto"/>
      </w:divBdr>
    </w:div>
    <w:div w:id="1982298223">
      <w:marLeft w:val="640"/>
      <w:marRight w:val="0"/>
      <w:marTop w:val="0"/>
      <w:marBottom w:val="0"/>
      <w:divBdr>
        <w:top w:val="none" w:sz="0" w:space="0" w:color="auto"/>
        <w:left w:val="none" w:sz="0" w:space="0" w:color="auto"/>
        <w:bottom w:val="none" w:sz="0" w:space="0" w:color="auto"/>
        <w:right w:val="none" w:sz="0" w:space="0" w:color="auto"/>
      </w:divBdr>
    </w:div>
    <w:div w:id="1984004079">
      <w:marLeft w:val="640"/>
      <w:marRight w:val="0"/>
      <w:marTop w:val="0"/>
      <w:marBottom w:val="0"/>
      <w:divBdr>
        <w:top w:val="none" w:sz="0" w:space="0" w:color="auto"/>
        <w:left w:val="none" w:sz="0" w:space="0" w:color="auto"/>
        <w:bottom w:val="none" w:sz="0" w:space="0" w:color="auto"/>
        <w:right w:val="none" w:sz="0" w:space="0" w:color="auto"/>
      </w:divBdr>
    </w:div>
    <w:div w:id="1985814231">
      <w:marLeft w:val="640"/>
      <w:marRight w:val="0"/>
      <w:marTop w:val="0"/>
      <w:marBottom w:val="0"/>
      <w:divBdr>
        <w:top w:val="none" w:sz="0" w:space="0" w:color="auto"/>
        <w:left w:val="none" w:sz="0" w:space="0" w:color="auto"/>
        <w:bottom w:val="none" w:sz="0" w:space="0" w:color="auto"/>
        <w:right w:val="none" w:sz="0" w:space="0" w:color="auto"/>
      </w:divBdr>
    </w:div>
    <w:div w:id="2014333452">
      <w:marLeft w:val="640"/>
      <w:marRight w:val="0"/>
      <w:marTop w:val="0"/>
      <w:marBottom w:val="0"/>
      <w:divBdr>
        <w:top w:val="none" w:sz="0" w:space="0" w:color="auto"/>
        <w:left w:val="none" w:sz="0" w:space="0" w:color="auto"/>
        <w:bottom w:val="none" w:sz="0" w:space="0" w:color="auto"/>
        <w:right w:val="none" w:sz="0" w:space="0" w:color="auto"/>
      </w:divBdr>
    </w:div>
    <w:div w:id="2051950275">
      <w:marLeft w:val="640"/>
      <w:marRight w:val="0"/>
      <w:marTop w:val="0"/>
      <w:marBottom w:val="0"/>
      <w:divBdr>
        <w:top w:val="none" w:sz="0" w:space="0" w:color="auto"/>
        <w:left w:val="none" w:sz="0" w:space="0" w:color="auto"/>
        <w:bottom w:val="none" w:sz="0" w:space="0" w:color="auto"/>
        <w:right w:val="none" w:sz="0" w:space="0" w:color="auto"/>
      </w:divBdr>
    </w:div>
    <w:div w:id="2055032136">
      <w:marLeft w:val="640"/>
      <w:marRight w:val="0"/>
      <w:marTop w:val="0"/>
      <w:marBottom w:val="0"/>
      <w:divBdr>
        <w:top w:val="none" w:sz="0" w:space="0" w:color="auto"/>
        <w:left w:val="none" w:sz="0" w:space="0" w:color="auto"/>
        <w:bottom w:val="none" w:sz="0" w:space="0" w:color="auto"/>
        <w:right w:val="none" w:sz="0" w:space="0" w:color="auto"/>
      </w:divBdr>
    </w:div>
    <w:div w:id="2069574498">
      <w:marLeft w:val="640"/>
      <w:marRight w:val="0"/>
      <w:marTop w:val="0"/>
      <w:marBottom w:val="0"/>
      <w:divBdr>
        <w:top w:val="none" w:sz="0" w:space="0" w:color="auto"/>
        <w:left w:val="none" w:sz="0" w:space="0" w:color="auto"/>
        <w:bottom w:val="none" w:sz="0" w:space="0" w:color="auto"/>
        <w:right w:val="none" w:sz="0" w:space="0" w:color="auto"/>
      </w:divBdr>
    </w:div>
    <w:div w:id="2111510964">
      <w:marLeft w:val="640"/>
      <w:marRight w:val="0"/>
      <w:marTop w:val="0"/>
      <w:marBottom w:val="0"/>
      <w:divBdr>
        <w:top w:val="none" w:sz="0" w:space="0" w:color="auto"/>
        <w:left w:val="none" w:sz="0" w:space="0" w:color="auto"/>
        <w:bottom w:val="none" w:sz="0" w:space="0" w:color="auto"/>
        <w:right w:val="none" w:sz="0" w:space="0" w:color="auto"/>
      </w:divBdr>
    </w:div>
    <w:div w:id="2117284556">
      <w:marLeft w:val="640"/>
      <w:marRight w:val="0"/>
      <w:marTop w:val="0"/>
      <w:marBottom w:val="0"/>
      <w:divBdr>
        <w:top w:val="none" w:sz="0" w:space="0" w:color="auto"/>
        <w:left w:val="none" w:sz="0" w:space="0" w:color="auto"/>
        <w:bottom w:val="none" w:sz="0" w:space="0" w:color="auto"/>
        <w:right w:val="none" w:sz="0" w:space="0" w:color="auto"/>
      </w:divBdr>
    </w:div>
    <w:div w:id="2121409691">
      <w:marLeft w:val="640"/>
      <w:marRight w:val="0"/>
      <w:marTop w:val="0"/>
      <w:marBottom w:val="0"/>
      <w:divBdr>
        <w:top w:val="none" w:sz="0" w:space="0" w:color="auto"/>
        <w:left w:val="none" w:sz="0" w:space="0" w:color="auto"/>
        <w:bottom w:val="none" w:sz="0" w:space="0" w:color="auto"/>
        <w:right w:val="none" w:sz="0" w:space="0" w:color="auto"/>
      </w:divBdr>
    </w:div>
    <w:div w:id="212673324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0FA66-4BA9-487F-8324-8A26FD9A5B9E}"/>
      </w:docPartPr>
      <w:docPartBody>
        <w:p w:rsidR="00E1612F" w:rsidRDefault="00516BEC">
          <w:r w:rsidRPr="00465525">
            <w:rPr>
              <w:rStyle w:val="PlaceholderText"/>
            </w:rPr>
            <w:t>Click or tap here to enter text.</w:t>
          </w:r>
        </w:p>
      </w:docPartBody>
    </w:docPart>
    <w:docPart>
      <w:docPartPr>
        <w:name w:val="0E45155391926D4980EB8D2B015B707E"/>
        <w:category>
          <w:name w:val="General"/>
          <w:gallery w:val="placeholder"/>
        </w:category>
        <w:types>
          <w:type w:val="bbPlcHdr"/>
        </w:types>
        <w:behaviors>
          <w:behavior w:val="content"/>
        </w:behaviors>
        <w:guid w:val="{616393ED-0D4D-6443-A9E7-97DACDB513C7}"/>
      </w:docPartPr>
      <w:docPartBody>
        <w:p w:rsidR="00000000" w:rsidRDefault="002D0132" w:rsidP="002D0132">
          <w:pPr>
            <w:pStyle w:val="0E45155391926D4980EB8D2B015B707E"/>
          </w:pPr>
          <w:r w:rsidRPr="00465525">
            <w:rPr>
              <w:rStyle w:val="PlaceholderText"/>
            </w:rPr>
            <w:t>Click or tap here to enter text.</w:t>
          </w:r>
        </w:p>
      </w:docPartBody>
    </w:docPart>
    <w:docPart>
      <w:docPartPr>
        <w:name w:val="E38FFB0800759C47ACC8EB14BE6A22E8"/>
        <w:category>
          <w:name w:val="General"/>
          <w:gallery w:val="placeholder"/>
        </w:category>
        <w:types>
          <w:type w:val="bbPlcHdr"/>
        </w:types>
        <w:behaviors>
          <w:behavior w:val="content"/>
        </w:behaviors>
        <w:guid w:val="{6DC92A0A-D9F2-2447-91D3-C3195A13B895}"/>
      </w:docPartPr>
      <w:docPartBody>
        <w:p w:rsidR="00000000" w:rsidRDefault="002D0132" w:rsidP="002D0132">
          <w:pPr>
            <w:pStyle w:val="E38FFB0800759C47ACC8EB14BE6A22E8"/>
          </w:pPr>
          <w:r w:rsidRPr="00465525">
            <w:rPr>
              <w:rStyle w:val="PlaceholderText"/>
            </w:rPr>
            <w:t>Click or tap here to enter text.</w:t>
          </w:r>
        </w:p>
      </w:docPartBody>
    </w:docPart>
    <w:docPart>
      <w:docPartPr>
        <w:name w:val="0CE76774345D724CB56EAC28B9BF7447"/>
        <w:category>
          <w:name w:val="General"/>
          <w:gallery w:val="placeholder"/>
        </w:category>
        <w:types>
          <w:type w:val="bbPlcHdr"/>
        </w:types>
        <w:behaviors>
          <w:behavior w:val="content"/>
        </w:behaviors>
        <w:guid w:val="{2D493A71-F261-9F4A-9EDD-E676CB779CC2}"/>
      </w:docPartPr>
      <w:docPartBody>
        <w:p w:rsidR="00000000" w:rsidRDefault="002D0132" w:rsidP="002D0132">
          <w:pPr>
            <w:pStyle w:val="0CE76774345D724CB56EAC28B9BF7447"/>
          </w:pPr>
          <w:r w:rsidRPr="00465525">
            <w:rPr>
              <w:rStyle w:val="PlaceholderText"/>
            </w:rPr>
            <w:t>Click or tap here to enter text.</w:t>
          </w:r>
        </w:p>
      </w:docPartBody>
    </w:docPart>
    <w:docPart>
      <w:docPartPr>
        <w:name w:val="C8430450D6BE1048A14FD5F8E7E5A361"/>
        <w:category>
          <w:name w:val="General"/>
          <w:gallery w:val="placeholder"/>
        </w:category>
        <w:types>
          <w:type w:val="bbPlcHdr"/>
        </w:types>
        <w:behaviors>
          <w:behavior w:val="content"/>
        </w:behaviors>
        <w:guid w:val="{D7D364CD-BEC3-3C46-8E43-BAF6EE4D966C}"/>
      </w:docPartPr>
      <w:docPartBody>
        <w:p w:rsidR="00000000" w:rsidRDefault="002D0132" w:rsidP="002D0132">
          <w:pPr>
            <w:pStyle w:val="C8430450D6BE1048A14FD5F8E7E5A361"/>
          </w:pPr>
          <w:r w:rsidRPr="00465525">
            <w:rPr>
              <w:rStyle w:val="PlaceholderText"/>
            </w:rPr>
            <w:t>Click or tap here to enter text.</w:t>
          </w:r>
        </w:p>
      </w:docPartBody>
    </w:docPart>
    <w:docPart>
      <w:docPartPr>
        <w:name w:val="331F9B3BA9771F4EB73EA900302F8FE8"/>
        <w:category>
          <w:name w:val="General"/>
          <w:gallery w:val="placeholder"/>
        </w:category>
        <w:types>
          <w:type w:val="bbPlcHdr"/>
        </w:types>
        <w:behaviors>
          <w:behavior w:val="content"/>
        </w:behaviors>
        <w:guid w:val="{CB3402CA-9D55-C046-8AB8-BB6C2F457AC1}"/>
      </w:docPartPr>
      <w:docPartBody>
        <w:p w:rsidR="00000000" w:rsidRDefault="002D0132" w:rsidP="002D0132">
          <w:pPr>
            <w:pStyle w:val="331F9B3BA9771F4EB73EA900302F8FE8"/>
          </w:pPr>
          <w:r w:rsidRPr="00465525">
            <w:rPr>
              <w:rStyle w:val="PlaceholderText"/>
            </w:rPr>
            <w:t>Click or tap here to enter text.</w:t>
          </w:r>
        </w:p>
      </w:docPartBody>
    </w:docPart>
    <w:docPart>
      <w:docPartPr>
        <w:name w:val="260D3C6CEC5D7245A04ED62193850289"/>
        <w:category>
          <w:name w:val="General"/>
          <w:gallery w:val="placeholder"/>
        </w:category>
        <w:types>
          <w:type w:val="bbPlcHdr"/>
        </w:types>
        <w:behaviors>
          <w:behavior w:val="content"/>
        </w:behaviors>
        <w:guid w:val="{403BBA93-B187-9547-99EB-F4C303797D30}"/>
      </w:docPartPr>
      <w:docPartBody>
        <w:p w:rsidR="00000000" w:rsidRDefault="002D0132" w:rsidP="002D0132">
          <w:pPr>
            <w:pStyle w:val="260D3C6CEC5D7245A04ED62193850289"/>
          </w:pPr>
          <w:r w:rsidRPr="00465525">
            <w:rPr>
              <w:rStyle w:val="PlaceholderText"/>
            </w:rPr>
            <w:t>Click or tap here to enter text.</w:t>
          </w:r>
        </w:p>
      </w:docPartBody>
    </w:docPart>
    <w:docPart>
      <w:docPartPr>
        <w:name w:val="90094C471BCAE249AE610224D49B070E"/>
        <w:category>
          <w:name w:val="General"/>
          <w:gallery w:val="placeholder"/>
        </w:category>
        <w:types>
          <w:type w:val="bbPlcHdr"/>
        </w:types>
        <w:behaviors>
          <w:behavior w:val="content"/>
        </w:behaviors>
        <w:guid w:val="{1642DA71-AC48-4649-8CE8-55127B3E2A85}"/>
      </w:docPartPr>
      <w:docPartBody>
        <w:p w:rsidR="00000000" w:rsidRDefault="002D0132" w:rsidP="002D0132">
          <w:pPr>
            <w:pStyle w:val="90094C471BCAE249AE610224D49B070E"/>
          </w:pPr>
          <w:r w:rsidRPr="00465525">
            <w:rPr>
              <w:rStyle w:val="PlaceholderText"/>
            </w:rPr>
            <w:t>Click or tap here to enter text.</w:t>
          </w:r>
        </w:p>
      </w:docPartBody>
    </w:docPart>
    <w:docPart>
      <w:docPartPr>
        <w:name w:val="5079F1479FEA6540BCC6695C6A71A886"/>
        <w:category>
          <w:name w:val="General"/>
          <w:gallery w:val="placeholder"/>
        </w:category>
        <w:types>
          <w:type w:val="bbPlcHdr"/>
        </w:types>
        <w:behaviors>
          <w:behavior w:val="content"/>
        </w:behaviors>
        <w:guid w:val="{E19D0FE7-6D4F-C24B-A3FC-1B2E28DEDCF4}"/>
      </w:docPartPr>
      <w:docPartBody>
        <w:p w:rsidR="00000000" w:rsidRDefault="002D0132" w:rsidP="002D0132">
          <w:pPr>
            <w:pStyle w:val="5079F1479FEA6540BCC6695C6A71A886"/>
          </w:pPr>
          <w:r w:rsidRPr="00465525">
            <w:rPr>
              <w:rStyle w:val="PlaceholderText"/>
            </w:rPr>
            <w:t>Click or tap here to enter text.</w:t>
          </w:r>
        </w:p>
      </w:docPartBody>
    </w:docPart>
    <w:docPart>
      <w:docPartPr>
        <w:name w:val="69B358A593DAF249846879DF433AC86D"/>
        <w:category>
          <w:name w:val="General"/>
          <w:gallery w:val="placeholder"/>
        </w:category>
        <w:types>
          <w:type w:val="bbPlcHdr"/>
        </w:types>
        <w:behaviors>
          <w:behavior w:val="content"/>
        </w:behaviors>
        <w:guid w:val="{0C57EC3A-C5C7-5042-8B69-55DE84690C17}"/>
      </w:docPartPr>
      <w:docPartBody>
        <w:p w:rsidR="00000000" w:rsidRDefault="002D0132" w:rsidP="002D0132">
          <w:pPr>
            <w:pStyle w:val="69B358A593DAF249846879DF433AC86D"/>
          </w:pPr>
          <w:r w:rsidRPr="00465525">
            <w:rPr>
              <w:rStyle w:val="PlaceholderText"/>
            </w:rPr>
            <w:t>Click or tap here to enter text.</w:t>
          </w:r>
        </w:p>
      </w:docPartBody>
    </w:docPart>
    <w:docPart>
      <w:docPartPr>
        <w:name w:val="958705743F6D0542A11CF29F86AAD0B0"/>
        <w:category>
          <w:name w:val="General"/>
          <w:gallery w:val="placeholder"/>
        </w:category>
        <w:types>
          <w:type w:val="bbPlcHdr"/>
        </w:types>
        <w:behaviors>
          <w:behavior w:val="content"/>
        </w:behaviors>
        <w:guid w:val="{D8377C9C-3910-F44D-B8C3-C24D5E64A6A1}"/>
      </w:docPartPr>
      <w:docPartBody>
        <w:p w:rsidR="00000000" w:rsidRDefault="002D0132" w:rsidP="002D0132">
          <w:pPr>
            <w:pStyle w:val="958705743F6D0542A11CF29F86AAD0B0"/>
          </w:pPr>
          <w:r w:rsidRPr="00465525">
            <w:rPr>
              <w:rStyle w:val="PlaceholderText"/>
            </w:rPr>
            <w:t>Click or tap here to enter text.</w:t>
          </w:r>
        </w:p>
      </w:docPartBody>
    </w:docPart>
    <w:docPart>
      <w:docPartPr>
        <w:name w:val="1FF10FDF7B929E4688C2E7AF8DC0AD21"/>
        <w:category>
          <w:name w:val="General"/>
          <w:gallery w:val="placeholder"/>
        </w:category>
        <w:types>
          <w:type w:val="bbPlcHdr"/>
        </w:types>
        <w:behaviors>
          <w:behavior w:val="content"/>
        </w:behaviors>
        <w:guid w:val="{D6B98252-A405-3846-A0FE-A847ECEC65FF}"/>
      </w:docPartPr>
      <w:docPartBody>
        <w:p w:rsidR="00000000" w:rsidRDefault="002D0132" w:rsidP="002D0132">
          <w:pPr>
            <w:pStyle w:val="1FF10FDF7B929E4688C2E7AF8DC0AD21"/>
          </w:pPr>
          <w:r w:rsidRPr="00465525">
            <w:rPr>
              <w:rStyle w:val="PlaceholderText"/>
            </w:rPr>
            <w:t>Click or tap here to enter text.</w:t>
          </w:r>
        </w:p>
      </w:docPartBody>
    </w:docPart>
    <w:docPart>
      <w:docPartPr>
        <w:name w:val="307994FE16EA61408EB629E5D61075DF"/>
        <w:category>
          <w:name w:val="General"/>
          <w:gallery w:val="placeholder"/>
        </w:category>
        <w:types>
          <w:type w:val="bbPlcHdr"/>
        </w:types>
        <w:behaviors>
          <w:behavior w:val="content"/>
        </w:behaviors>
        <w:guid w:val="{A49CB304-A4F3-054A-AB4D-E9819BF9BD4B}"/>
      </w:docPartPr>
      <w:docPartBody>
        <w:p w:rsidR="00000000" w:rsidRDefault="002D0132" w:rsidP="002D0132">
          <w:pPr>
            <w:pStyle w:val="307994FE16EA61408EB629E5D61075DF"/>
          </w:pPr>
          <w:r w:rsidRPr="00465525">
            <w:rPr>
              <w:rStyle w:val="PlaceholderText"/>
            </w:rPr>
            <w:t>Click or tap here to enter text.</w:t>
          </w:r>
        </w:p>
      </w:docPartBody>
    </w:docPart>
    <w:docPart>
      <w:docPartPr>
        <w:name w:val="F71C3433717418458CC2397D12AB5CC3"/>
        <w:category>
          <w:name w:val="General"/>
          <w:gallery w:val="placeholder"/>
        </w:category>
        <w:types>
          <w:type w:val="bbPlcHdr"/>
        </w:types>
        <w:behaviors>
          <w:behavior w:val="content"/>
        </w:behaviors>
        <w:guid w:val="{3032277A-20CD-E04A-83F1-2F6017C3B4F9}"/>
      </w:docPartPr>
      <w:docPartBody>
        <w:p w:rsidR="00000000" w:rsidRDefault="002D0132" w:rsidP="002D0132">
          <w:pPr>
            <w:pStyle w:val="F71C3433717418458CC2397D12AB5CC3"/>
          </w:pPr>
          <w:r w:rsidRPr="004655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EC"/>
    <w:rsid w:val="00196943"/>
    <w:rsid w:val="002D0132"/>
    <w:rsid w:val="00516BEC"/>
    <w:rsid w:val="00A9788A"/>
    <w:rsid w:val="00B718C4"/>
    <w:rsid w:val="00C313D8"/>
    <w:rsid w:val="00D612A2"/>
    <w:rsid w:val="00E1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0132"/>
    <w:rPr>
      <w:color w:val="666666"/>
    </w:rPr>
  </w:style>
  <w:style w:type="paragraph" w:customStyle="1" w:styleId="0E45155391926D4980EB8D2B015B707E">
    <w:name w:val="0E45155391926D4980EB8D2B015B707E"/>
    <w:rsid w:val="002D0132"/>
  </w:style>
  <w:style w:type="paragraph" w:customStyle="1" w:styleId="E38FFB0800759C47ACC8EB14BE6A22E8">
    <w:name w:val="E38FFB0800759C47ACC8EB14BE6A22E8"/>
    <w:rsid w:val="002D0132"/>
  </w:style>
  <w:style w:type="paragraph" w:customStyle="1" w:styleId="0CE76774345D724CB56EAC28B9BF7447">
    <w:name w:val="0CE76774345D724CB56EAC28B9BF7447"/>
    <w:rsid w:val="002D0132"/>
  </w:style>
  <w:style w:type="paragraph" w:customStyle="1" w:styleId="C8430450D6BE1048A14FD5F8E7E5A361">
    <w:name w:val="C8430450D6BE1048A14FD5F8E7E5A361"/>
    <w:rsid w:val="002D0132"/>
  </w:style>
  <w:style w:type="paragraph" w:customStyle="1" w:styleId="331F9B3BA9771F4EB73EA900302F8FE8">
    <w:name w:val="331F9B3BA9771F4EB73EA900302F8FE8"/>
    <w:rsid w:val="002D0132"/>
  </w:style>
  <w:style w:type="paragraph" w:customStyle="1" w:styleId="260D3C6CEC5D7245A04ED62193850289">
    <w:name w:val="260D3C6CEC5D7245A04ED62193850289"/>
    <w:rsid w:val="002D0132"/>
  </w:style>
  <w:style w:type="paragraph" w:customStyle="1" w:styleId="90094C471BCAE249AE610224D49B070E">
    <w:name w:val="90094C471BCAE249AE610224D49B070E"/>
    <w:rsid w:val="002D0132"/>
  </w:style>
  <w:style w:type="paragraph" w:customStyle="1" w:styleId="5079F1479FEA6540BCC6695C6A71A886">
    <w:name w:val="5079F1479FEA6540BCC6695C6A71A886"/>
    <w:rsid w:val="002D0132"/>
  </w:style>
  <w:style w:type="paragraph" w:customStyle="1" w:styleId="69B358A593DAF249846879DF433AC86D">
    <w:name w:val="69B358A593DAF249846879DF433AC86D"/>
    <w:rsid w:val="002D0132"/>
  </w:style>
  <w:style w:type="paragraph" w:customStyle="1" w:styleId="958705743F6D0542A11CF29F86AAD0B0">
    <w:name w:val="958705743F6D0542A11CF29F86AAD0B0"/>
    <w:rsid w:val="002D0132"/>
  </w:style>
  <w:style w:type="paragraph" w:customStyle="1" w:styleId="1FF10FDF7B929E4688C2E7AF8DC0AD21">
    <w:name w:val="1FF10FDF7B929E4688C2E7AF8DC0AD21"/>
    <w:rsid w:val="002D0132"/>
  </w:style>
  <w:style w:type="paragraph" w:customStyle="1" w:styleId="307994FE16EA61408EB629E5D61075DF">
    <w:name w:val="307994FE16EA61408EB629E5D61075DF"/>
    <w:rsid w:val="002D0132"/>
  </w:style>
  <w:style w:type="paragraph" w:customStyle="1" w:styleId="F71C3433717418458CC2397D12AB5CC3">
    <w:name w:val="F71C3433717418458CC2397D12AB5CC3"/>
    <w:rsid w:val="002D01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487CF9-B176-4B62-B9BE-834CEB02A4C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0499214525"/>
    <we:property name="MENDELEY_CITATIONS" value="[{&quot;citationID&quot;:&quot;MENDELEY_CITATION_11a92c0b-a9f4-48a6-85d9-98d14cf69492&quot;,&quot;properties&quot;:{&quot;noteIndex&quot;:0},&quot;isEdited&quot;:false,&quot;manualOverride&quot;:{&quot;isManuallyOverridden&quot;:false,&quot;citeprocText&quot;:&quot;[1–6]&quot;,&quot;manualOverrideText&quot;:&quot;&quot;},&quot;citationTag&quot;:&quot;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&quot;,&quot;citationItems&quot;:[{&quot;id&quot;:&quot;5e9ec9a6-42a5-3d24-ae29-dc9c9ca2e687&quot;,&quot;itemData&quot;:{&quot;type&quot;:&quot;article-journal&quot;,&quot;id&quot;:&quot;5e9ec9a6-42a5-3d24-ae29-dc9c9ca2e687&quot;,&quot;title&quot;:&quot;The contribution of global aviation to anthropogenic climate forcing for 2000 to 2018&quot;,&quot;author&quot;:[{&quot;family&quot;:&quot;Lee&quot;,&quot;given&quot;:&quot;D. S.&quot;,&quot;parse-names&quot;:false,&quot;dropping-particle&quot;:&quot;&quot;,&quot;non-dropping-particle&quot;:&quot;&quot;},{&quot;family&quot;:&quot;Fahey&quot;,&quot;given&quot;:&quot;D. W.&quot;,&quot;parse-names&quot;:false,&quot;dropping-particle&quot;:&quot;&quot;,&quot;non-dropping-particle&quot;:&quot;&quot;},{&quot;family&quot;:&quot;Skowron&quot;,&quot;given&quot;:&quot;A.&quot;,&quot;parse-names&quot;:false,&quot;dropping-particle&quot;:&quot;&quot;,&quot;non-dropping-particle&quot;:&quot;&quot;},{&quot;family&quot;:&quot;Allen&quot;,&quot;given&quot;:&quot;M. R.&quot;,&quot;parse-names&quot;:false,&quot;dropping-particle&quot;:&quot;&quot;,&quot;non-dropping-particle&quot;:&quot;&quot;},{&quot;family&quot;:&quot;Burkhardt&quot;,&quot;given&quot;:&quot;U.&quot;,&quot;parse-names&quot;:false,&quot;dropping-particle&quot;:&quot;&quot;,&quot;non-dropping-particle&quot;:&quot;&quot;},{&quot;family&quot;:&quot;Chen&quot;,&quot;given&quot;:&quot;Q.&quot;,&quot;parse-names&quot;:false,&quot;dropping-particle&quot;:&quot;&quot;,&quot;non-dropping-particle&quot;:&quot;&quot;},{&quot;family&quot;:&quot;Doherty&quot;,&quot;given&quot;:&quot;S. J.&quot;,&quot;parse-names&quot;:false,&quot;dropping-particle&quot;:&quot;&quot;,&quot;non-dropping-particle&quot;:&quot;&quot;},{&quot;family&quot;:&quot;Freeman&quot;,&quot;given&quot;:&quot;S.&quot;,&quot;parse-names&quot;:false,&quot;dropping-particle&quot;:&quot;&quot;,&quot;non-dropping-particle&quot;:&quot;&quot;},{&quot;family&quot;:&quot;Forster&quot;,&quot;given&quot;:&quot;P. M.&quot;,&quot;parse-names&quot;:false,&quot;dropping-particle&quot;:&quot;&quot;,&quot;non-dropping-particle&quot;:&quot;&quot;},{&quot;family&quot;:&quot;Fuglestvedt&quot;,&quot;given&quot;:&quot;J.&quot;,&quot;parse-names&quot;:false,&quot;dropping-particle&quot;:&quot;&quot;,&quot;non-dropping-particle&quot;:&quot;&quot;},{&quot;family&quot;:&quot;Gettelman&quot;,&quot;given&quot;:&quot;A.&quot;,&quot;parse-names&quot;:false,&quot;dropping-particle&quot;:&quot;&quot;,&quot;non-dropping-particle&quot;:&quot;&quot;},{&quot;family&quot;:&quot;León&quot;,&quot;given&quot;:&quot;R. R.&quot;,&quot;parse-names&quot;:false,&quot;dropping-particle&quot;:&quot;&quot;,&quot;non-dropping-particle&quot;:&quot;De&quot;},{&quot;family&quot;:&quot;Lim&quot;,&quot;given&quot;:&quot;L. L.&quot;,&quot;parse-names&quot;:false,&quot;dropping-particle&quot;:&quot;&quot;,&quot;non-dropping-particle&quot;:&quot;&quot;},{&quot;family&quot;:&quot;Lund&quot;,&quot;given&quot;:&quot;M. T.&quot;,&quot;parse-names&quot;:false,&quot;dropping-particle&quot;:&quot;&quot;,&quot;non-dropping-particle&quot;:&quot;&quot;},{&quot;family&quot;:&quot;Millar&quot;,&quot;given&quot;:&quot;R. J.&quot;,&quot;parse-names&quot;:false,&quot;dropping-particle&quot;:&quot;&quot;,&quot;non-dropping-particle&quot;:&quot;&quot;},{&quot;family&quot;:&quot;Owen&quot;,&quot;given&quot;:&quot;B.&quot;,&quot;parse-names&quot;:false,&quot;dropping-particle&quot;:&quot;&quot;,&quot;non-dropping-particle&quot;:&quot;&quot;},{&quot;family&quot;:&quot;Penner&quot;,&quot;given&quot;:&quot;J. E.&quot;,&quot;parse-names&quot;:false,&quot;dropping-particle&quot;:&quot;&quot;,&quot;non-dropping-particle&quot;:&quot;&quot;},{&quot;family&quot;:&quot;Pitari&quot;,&quot;given&quot;:&quot;G.&quot;,&quot;parse-names&quot;:false,&quot;dropping-particle&quot;:&quot;&quot;,&quot;non-dropping-particle&quot;:&quot;&quot;},{&quot;family&quot;:&quot;Prather&quot;,&quot;given&quot;:&quot;M. J.&quot;,&quot;parse-names&quot;:false,&quot;dropping-particle&quot;:&quot;&quot;,&quot;non-dropping-particle&quot;:&quot;&quot;},{&quot;family&quot;:&quot;Sausen&quot;,&quot;given&quot;:&quot;R.&quot;,&quot;parse-names&quot;:false,&quot;dropping-particle&quot;:&quot;&quot;,&quot;non-dropping-particle&quot;:&quot;&quot;},{&quot;family&quot;:&quot;Wilcox&quot;,&quot;given&quot;:&quot;L. J.&quot;,&quot;parse-names&quot;:false,&quot;dropping-particle&quot;:&quot;&quot;,&quot;non-dropping-particle&quot;:&quot;&quot;}],&quot;container-title&quot;:&quot;Atmospheric Environment&quot;,&quot;container-title-short&quot;:&quot;Atmos. Environ.&quot;,&quot;accessed&quot;:{&quot;date-parts&quot;:[[2026,2,3]]},&quot;DOI&quot;:&quot;10.1016/j.atmosenv.2020.117834&quot;,&quot;ISSN&quot;:&quot;18732844&quot;,&quot;URL&quot;:&quot;https://doi.org/10.1038/nclimate2998&quot;,&quot;issued&quot;:{&quot;date-parts&quot;:[[2021,1,1]]},&quot;page&quot;:&quot;117834&quot;,&quot;abstract&quot;:&quot;Global aviation operations contribute to anthropogenic climate change via a complex set of processes that lead to a net surface warming. Of importance are aviation emissions of carbon dioxide (CO2), nitrogen oxides (NOx), water vapor, soot and sulfate aerosols, and increased cloudiness due to contrail formation. Aviation grew strongly over the past decades (1960–2018) in terms of activity, with revenue passenger kilometers increasing from 109 to 8269 billion km yr−1, and in terms of climate change impacts, with CO2 emissions increasing by a factor of 6.8 to 1034 Tg CO2 yr−1. Over the period 2013–2018, the growth rates in both terms show a marked increase. Here, we present a new comprehensive and quantitative approach for evaluating aviation climate forcing terms. Both radiative forcing (RF) and effective radiative forcing (ERF) terms and their sums are calculated for the years 2000–2018. Contrail cirrus, consisting of linear contrails and the cirrus cloudiness arising from them, yields the largest positive net (warming) ERF term followed by CO2 and NOx emissions. The formation and emission of sulfate aerosol yields a negative (cooling) term. The mean contrail cirrus ERF/RF ratio of 0.42 indicates that contrail cirrus is less effective in surface warming than other terms. For 2018 the net aviation ERF is +100.9 milliwatts (mW) m−2 (5–95% likelihood range of (55, 145)) with major contributions from contrail cirrus (57.4 mW m−2), CO2 (34.3 mW m−2), and NOx (17.5 mW m−2). Non-CO2 terms sum to yield a net positive (warming) ERF that accounts for more than half (66%) of the aviation net ERF in 2018. Using normalization to aviation fuel use, the contribution of global aviation in 2011 was calculated to be 3.5 (4.0, 3.4) % of the net anthropogenic ERF of 2290 (1130, 3330) mW m−2. Uncertainty distributions (5%, 95%) show that non-CO2 forcing terms contribute about 8 times more than CO2 to the uncertainty in the aviation net ERF in 2018. The best estimates of the ERFs from aviation aerosol-cloud interactions for soot and sulfate remain undetermined. CO2-warming-equivalent emissions based on global warming potentials (GWP* method) indicate that aviation emissions are currently warming the climate at approximately three times the rate of that associated with aviation CO2 emissions alone. CO2 and NOx aviation emissions and cloud effects remain a continued focus of anthropogenic climate change research and policy discussions.&quot;,&quot;publisher&quot;:&quot;Pergamon&quot;,&quot;issue&quot;:&quot;8&quot;,&quot;volume&quot;:&quot;244&quot;},&quot;isTemporary&quot;:false,&quot;suppress-author&quot;:false,&quot;composite&quot;:false,&quot;author-only&quot;:false},{&quot;id&quot;:&quot;5da3d924-3093-30fb-ace7-080cd2b3005d&quot;,&quot;itemData&quot;:{&quot;type&quot;:&quot;article-journal&quot;,&quot;id&quot;:&quot;5da3d924-3093-30fb-ace7-080cd2b3005d&quot;,&quot;title&quot;:&quot;Pathways to net-zero emissions from aviation&quot;,&quot;author&quot;:[{&quot;family&quot;:&quot;Bergero&quot;,&quot;given&quot;:&quot;Candelaria&quot;,&quot;parse-names&quot;:false,&quot;dropping-particle&quot;:&quot;&quot;,&quot;non-dropping-particle&quot;:&quot;&quot;},{&quot;family&quot;:&quot;Gosnell&quot;,&quot;given&quot;:&quot;Greer&quot;,&quot;parse-names&quot;:false,&quot;dropping-particle&quot;:&quot;&quot;,&quot;non-dropping-particle&quot;:&quot;&quot;},{&quot;family&quot;:&quot;Gielen&quot;,&quot;given&quot;:&quot;Dolf&quot;,&quot;parse-names&quot;:false,&quot;dropping-particle&quot;:&quot;&quot;,&quot;non-dropping-particle&quot;:&quot;&quot;},{&quot;family&quot;:&quot;Kang&quot;,&quot;given&quot;:&quot;Seungwoo&quot;,&quot;parse-names&quot;:false,&quot;dropping-particle&quot;:&quot;&quot;,&quot;non-dropping-particle&quot;:&quot;&quot;},{&quot;family&quot;:&quot;Bazilian&quot;,&quot;given&quot;:&quot;Morgan&quot;,&quot;parse-names&quot;:false,&quot;dropping-particle&quot;:&quot;&quot;,&quot;non-dropping-particle&quot;:&quot;&quot;},{&quot;family&quot;:&quot;Davis&quot;,&quot;given&quot;:&quot;Steven J.&quot;,&quot;parse-names&quot;:false,&quot;dropping-particle&quot;:&quot;&quot;,&quot;non-dropping-particle&quot;:&quot;&quot;}],&quot;container-title&quot;:&quot;Nature Sustainability 2023 6:4&quot;,&quot;accessed&quot;:{&quot;date-parts&quot;:[[2026,2,3]]},&quot;DOI&quot;:&quot;10.1038/s41893-022-01046-9&quot;,&quot;ISSN&quot;:&quot;23989629&quot;,&quot;URL&quot;:&quot;https://www.nature.com/articles/s41893-022-01046-9&quot;,&quot;issued&quot;:{&quot;date-parts&quot;:[[2023,1,30]]},&quot;page&quot;:&quot;404-414&quot;,&quot;abstract&quot;:&quot;International climate goals imply reaching net-zero global carbon dioxide (CO2) emissions by roughly mid-century (and net-zero greenhouse gas emissions by the end of the century). Among the most difficult emissions to avoid will be those from aviation given the industry’s need for energy-dense liquid fuels that lack commercially competitive substitutes and the difficult-to-abate non-CO2 radiative forcing. Here we systematically assess pathways to net-zero emissions aviation. We find that ambitious reductions in demand for air transport and improvements in the energy efficiency of aircraft might avoid up to 61% (2.8 GtCO2 equivalent (GtCO2eq)) and 27% (1.2 GtCO2eq), respectively, of projected business-as-usual aviation emissions in 2050. However, further reductions will depend on replacing fossil jet fuel with large quantities of net-zero emissions biofuels or synthetic fuels (that is, 2.5–19.8 EJ of sustainable aviation fuels)—which may be substantially more expensive. Moreover, up to 3.4 GtCO2eq may need to be removed from the atmosphere to compensate for non-CO2 forcing for the sector to achieve net-zero radiative forcing. Our results may inform investments and priorities for innovation by highlighting plausible pathways to net-zero emissions aviation, including the relative potential and trade-offs of changes in behaviour, technology, energy sources and carbon equivalent removals. Decarbonizing the aviation sector is difficult given travel patterns and technical and economic constraints. Through nine holistic scenarios towards net-zero emissions from aviation by 2050, this study can inform investments and priorities for innovation to achieve a more sustainable aviation sector.&quot;,&quot;publisher&quot;:&quot;Nature Publishing Group&quot;,&quot;issue&quot;:&quot;4&quot;,&quot;volume&quot;:&quot;6&quot;,&quot;container-title-short&quot;:&quot;&quot;},&quot;isTemporary&quot;:false,&quot;suppress-author&quot;:false,&quot;composite&quot;:false,&quot;author-only&quot;:false},{&quot;id&quot;:&quot;5430d93c-a23c-3eb7-b4d4-215617971639&quot;,&quot;itemData&quot;:{&quot;type&quot;:&quot;article-journal&quot;,&quot;id&quot;:&quot;5430d93c-a23c-3eb7-b4d4-215617971639&quot;,&quot;title&quot;:&quot;The global scale, distribution and growth of aviation: Implications for climate change&quot;,&quot;author&quot;:[{&quot;family&quot;:&quot;Gössling&quot;,&quot;given&quot;:&quot;Stefan&quot;,&quot;parse-names&quot;:false,&quot;dropping-particle&quot;:&quot;&quot;,&quot;non-dropping-particle&quot;:&quot;&quot;},{&quot;family&quot;:&quot;Humpe&quot;,&quot;given&quot;:&quot;Andreas&quot;,&quot;parse-names&quot;:false,&quot;dropping-particle&quot;:&quot;&quot;,&quot;non-dropping-particle&quot;:&quot;&quot;}],&quot;container-title&quot;:&quot;Global Environmental Change&quot;,&quot;accessed&quot;:{&quot;date-parts&quot;:[[2026,2,3]]},&quot;DOI&quot;:&quot;10.1016/j.gloenvcha.2020.102194&quot;,&quot;ISSN&quot;:&quot;09593780&quot;,&quot;URL&quot;:&quot;https://doi.org/10.1111/tran.12319&quot;,&quot;issued&quot;:{&quot;date-parts&quot;:[[2020,11,1]]},&quot;page&quot;:&quot;102194&quot;,&quot;abstract&quot;:&quot;Prior to the COVID-19 crisis, global air transport demand was expected to triple between 2020 and 2050. The pandemic, which reduced global air travel significantly, provides an opportunity to discuss the scale, distribution and growth of aviation until 2018, also with a view to consider the climate change implications of a return to volume growth. Industry statistics, data provided by supranational organizations, and national surveys are evaluated to develop a pre-pandemic understanding of air transport demand at global, regional, national and individual scales. Results suggest that the share of the world's population travelling by air in 2018 was 11%, with at most 4% taking international flights. Data also supports that a minor share of air travelers is responsible for a large share of warming: The percentile of the most frequent fliers – at most 1% of the world population - likely accounts for more than half of the total emissions from passenger air travel. Individual users of private aircraft can contribute to emissions of up to 7,500 t CO2 per year. Findings are specifically relevant with regard to the insight that a large share of global aviation emissions is not covered by policy agreements.&quot;,&quot;publisher&quot;:&quot;Pergamon&quot;,&quot;issue&quot;:&quot;1&quot;,&quot;volume&quot;:&quot;65&quot;,&quot;container-title-short&quot;:&quot;&quot;},&quot;isTemporary&quot;:false,&quot;suppress-author&quot;:false,&quot;composite&quot;:false,&quot;author-only&quot;:false},{&quot;id&quot;:&quot;ce5ec5c9-b04b-38ce-9763-5c350183c64d&quot;,&quot;itemData&quot;:{&quot;type&quot;:&quot;article-journal&quot;,&quot;id&quot;:&quot;ce5ec5c9-b04b-38ce-9763-5c350183c64d&quot;,&quot;title&quot;:&quot;COVID-19 and pathways to low-carbon air transport until 2050&quot;,&quot;author&quot;:[{&quot;family&quot;:&quot;Gössling&quot;,&quot;given&quot;:&quot;Stefan&quot;,&quot;parse-names&quot;:false,&quot;dropping-particle&quot;:&quot;&quot;,&quot;non-dropping-particle&quot;:&quot;&quot;},{&quot;family&quot;:&quot;Humpe&quot;,&quot;given&quot;:&quot;Andreas&quot;,&quot;parse-names&quot;:false,&quot;dropping-particle&quot;:&quot;&quot;,&quot;non-dropping-particle&quot;:&quot;&quot;},{&quot;family&quot;:&quot;Fichert&quot;,&quot;given&quot;:&quot;Frank&quot;,&quot;parse-names&quot;:false,&quot;dropping-particle&quot;:&quot;&quot;,&quot;non-dropping-particle&quot;:&quot;&quot;},{&quot;family&quot;:&quot;Creutzig&quot;,&quot;given&quot;:&quot;Felix&quot;,&quot;parse-names&quot;:false,&quot;dropping-particle&quot;:&quot;&quot;,&quot;non-dropping-particle&quot;:&quot;&quot;}],&quot;container-title&quot;:&quot;Environmental Research Letters&quot;,&quot;accessed&quot;:{&quot;date-parts&quot;:[[2026,2,3]]},&quot;DOI&quot;:&quot;10.1088/1748-9326/abe90b&quot;,&quot;ISSN&quot;:&quot;17489326&quot;,&quot;URL&quot;:&quot;https://iopscience.iop.org/article/10.1088/1748-9326/abe90b&quot;,&quot;issued&quot;:{&quot;date-parts&quot;:[[2021,3,9]]},&quot;page&quot;:&quot;034063&quot;,&quot;abstract&quot;:&quot;The COVID-19 pandemic has led to an unprecedented decline in global air transport and associated reduction in CO2 emissions. The International Civil Aviation Organization (ICAO) reacted by weakening its own CO2-offsetting rules. Here we investigate whether the pandemic can be an opportunity to bring the sector on a reliable low-carbon trajectory, with a starting point in the observed reduction in air transport demand. We model a COVID-19 recovery based on a feed-in quota for non-biogenic synthetic fuels that will decarbonize fuels by 2050, as well as a carbon price to account for negative externalities and as an incentive to increase fuel efficiency. Results suggest that until 2050, air transport demand will continue to grow, albeit slower than in ICAO’s recovery scenarios, exceeding 2018 demand by 3.7–10.3 trillion RPK. Results show that synthetic fuels, produced by 14–20 EJ of photovoltaic energy, would make it possible to completely phase out fossil fuels and to avoid emissions of up to 26.5 Gt CO2 over the period 2022–2050.&quot;,&quot;publisher&quot;:&quot;IOP Publishing&quot;,&quot;issue&quot;:&quot;3&quot;,&quot;volume&quot;:&quot;16&quot;,&quot;container-title-short&quot;:&quot;&quot;},&quot;isTemporary&quot;:false,&quot;suppress-author&quot;:false,&quot;composite&quot;:false,&quot;author-only&quot;:false},{&quot;id&quot;:&quot;678e1d06-cfcb-3b07-93f0-57b9604d8c54&quot;,&quot;itemData&quot;:{&quot;type&quot;:&quot;article-journal&quot;,&quot;id&quot;:&quot;678e1d06-cfcb-3b07-93f0-57b9604d8c54&quot;,&quot;title&quot;:&quot;Pathway to zero emissions in global tourism: opportunities, challenges, and implications&quot;,&quot;author&quot;:[{&quot;family&quot;:&quot;Peeters&quot;,&quot;given&quot;:&quot;Paul&quot;,&quot;parse-names&quot;:false,&quot;dropping-particle&quot;:&quot;&quot;,&quot;non-dropping-particle&quot;:&quot;&quot;},{&quot;family&quot;:&quot;Papp&quot;,&quot;given&quot;:&quot;Bernadett&quot;,&quot;parse-names&quot;:false,&quot;dropping-particle&quot;:&quot;&quot;,&quot;non-dropping-particle&quot;:&quot;&quot;}],&quot;container-title&quot;:&quot;Journal of Sustainable Tourism&quot;,&quot;accessed&quot;:{&quot;date-parts&quot;:[[2026,2,3]]},&quot;DOI&quot;:&quot;10.1080/09669582.2024.2367513&quot;,&quot;ISSN&quot;:&quot;17477646&quot;,&quot;URL&quot;:&quot;https://www.tandfonline.com/doi/pdf/10.1080/09669582.2024.2367513&quot;,&quot;issued&quot;:{&quot;date-parts&quot;:[[2024]]},&quot;page&quot;:&quot;1784-1810&quot;,&quot;abstract&quot;:&quot;Human emissions must reach zero by 2050 to avoid dangerous climate change. Most sectors have achieved a downward path for their greenhouse gas emissions, but tourism’s emissions have continued to grow. We explore scenarios to reduce global tourism emissions and find only a narrow pathway to zero emissions tourism that could lead to net zero by 2050 while not severely damaging the tourism economy. Our study uses a system dynamics model. We describe the business-as-usual scenario, including its consequences for emissions and for tourism’s share of the remaining global carbon budgets if the world is to limit global temperature rise to 1.5 or 2 °C. We explore 45 possible policy approaches, like taxes and subsidies, infrastructure investments, off-sets, technology, behavioural changes, and sustainable aviation fuels. Key measures appear to be a mandate for e-fuel mixing up to 100% by 2050, and a multi-trillion USD investment in hydrogen-powered electric aircraft and high-speed rail infrastructure. We find that a limited renewable energy supply will constrain the growth of aviation if it is to be zero emissions in 2050. A risk-analysis explores the robustness of the policies. Finally, we discuss the consequences of the zero emissions tourism (ZET) scenario we propose.&quot;,&quot;publisher&quot;:&quot;Routledge&quot;,&quot;issue&quot;:&quot;9&quot;,&quot;volume&quot;:&quot;32&quot;,&quot;container-title-short&quot;:&quot;&quot;},&quot;isTemporary&quot;:false,&quot;suppress-author&quot;:false,&quot;composite&quot;:false,&quot;author-only&quot;:false},{&quot;id&quot;:&quot;5273e54d-c2a5-343b-8cd1-3137bd13ba41&quot;,&quot;itemData&quot;:{&quot;type&quot;:&quot;article-journal&quot;,&quot;id&quot;:&quot;5273e54d-c2a5-343b-8cd1-3137bd13ba41&quot;,&quot;title&quot;:&quot;CFD-DDPM modeling of chlorine-rich medical plastic waste in 2D downdraft gasification&quot;,&quot;author&quot;:[{&quot;family&quot;:&quot;Amponsah&quot;,&quot;given&quot;:&quot;Joseph&quot;,&quot;parse-names&quot;:false,&quot;dropping-particle&quot;:&quot;&quot;,&quot;non-dropping-particle&quot;:&quot;&quot;},{&quot;family&quot;:&quot;Ansah&quot;,&quot;given&quot;:&quot;Kingsford Kweku&quot;,&quot;parse-names&quot;:false,&quot;dropping-particle&quot;:&quot;&quot;,&quot;non-dropping-particle&quot;:&quot;&quot;},{&quot;family&quot;:&quot;Archibong-Eso&quot;,&quot;given&quot;:&quot;Archibong&quot;,&quot;parse-names&quot;:false,&quot;dropping-particle&quot;:&quot;&quot;,&quot;non-dropping-particle&quot;:&quot;&quot;}],&quot;container-title&quot;:&quot;Energy Conversion and Management&quot;,&quot;container-title-short&quot;:&quot;Energy Convers. Manag.&quot;,&quot;accessed&quot;:{&quot;date-parts&quot;:[[2025,9,28]]},&quot;DOI&quot;:&quot;10.1016/J.ENCONMAN.2025.120411&quot;,&quot;ISSN&quot;:&quot;0196-8904&quot;,&quot;issued&quot;:{&quot;date-parts&quot;:[[2025,12,1]]},&quot;page&quot;:&quot;120411&quot;,&quot;abstract&quot;:&quot;Medical plastic waste (MPW) from hospitals largely consists of polyvinyl chloride (PVC) and polypropylene (PP), which makes it both a hazardous chlorine source and a potential energy feedstock. While PVC and PP have been studied separately, the coupled transport and reaction dynamics governing chlorine release during gasification are not well understood. Here we developed a two–dimensional CFD-Dense Discrete Phase Model (DDPM) model to simulate downdraft gasification of a 50:50 MPW blend in a lab–scale reactor of 0.2 m diameter, 0.55 m height. The model combines Lagrangian tracking of plastic particles and sand with Eulerian gas–phase hydrodynamics, RNG k–ε turbulence closure and detailed kinetics for devolatilisation, char–gas reactions, steam/dry reforming, water–gas shift and complete conversion of chlorine to HCl. Under steam gasification, quasi–steady operation was achieved within 10 s at 1000 K (±50 K) a temperature range consistent with real downdraft gasifiers producing a dry syngas of about 59 % H2, 18 % CO, 21 % CO2 and &lt; 1 % CH4 with a cold–gas efficiency of 76 %. Air–blown gasification (ER = 0.30) yielded a nitrogen–diluted syngas of 5 MJ Nm−3 containing roughly 15 % H2 and 18 % CO, while CO2–blown operation enriched CO to 52 % but limited H2 to &lt; 20 %. Parametric studies spanning 900–1300 K showed that raising the reactor temperature from 1000 to 1300 K increases the CO fraction but slightly reduces H2, and that temperatures above 1200–1300 K risk excessive CO formation and material issues. Overall, the model suggests that operation near 1000 K provides an optimal balance, producing hydrogen-rich syngas of high quality while avoiding the limitations observed at lower (&lt; 900 K) or higher (&gt; 1200 K) temperatures.&quot;,&quot;publisher&quot;:&quot;Pergamon&quot;,&quot;volume&quot;:&quot;345&quot;},&quot;isTemporary&quot;:false,&quot;suppress-author&quot;:false,&quot;composite&quot;:false,&quot;author-only&quot;:false}]},{&quot;citationID&quot;:&quot;MENDELEY_CITATION_a076e4a1-d7d8-4235-8972-cd808f389f08&quot;,&quot;properties&quot;:{&quot;noteIndex&quot;:0},&quot;isEdited&quot;:false,&quot;manualOverride&quot;:{&quot;isManuallyOverridden&quot;:false,&quot;citeprocText&quot;:&quot;[7,8]&quot;,&quot;manualOverrideText&quot;:&quot;&quot;},&quot;citationTag&quot;:&quot;MENDELEY_CITATION_v3_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&quot;,&quot;citationItems&quot;:[{&quot;id&quot;:&quot;c71a136b-21af-3c74-85dc-bdf3d95628a6&quot;,&quot;itemData&quot;:{&quot;type&quot;:&quot;webpage&quot;,&quot;id&quot;:&quot;c71a136b-21af-3c74-85dc-bdf3d95628a6&quot;,&quot;title&quot;:&quot;IATA - Sustainable Aviation Fuel (SAF)&quot;,&quot;accessed&quot;:{&quot;date-parts&quot;:[[2026,2,3]]},&quot;URL&quot;:&quot;https://www.iata.org/en/programs/sustainability/sustainable-aviation-fuels/&quot;,&quot;container-title-short&quot;:&quot;&quot;},&quot;isTemporary&quot;:false,&quot;suppress-author&quot;:false,&quot;composite&quot;:false,&quot;author-only&quot;:false},{&quot;id&quot;:&quot;ae0e3c61-37f5-3893-8aa8-4dafe10175b2&quot;,&quot;itemData&quot;:{&quot;type&quot;:&quot;article-journal&quot;,&quot;id&quot;:&quot;ae0e3c61-37f5-3893-8aa8-4dafe10175b2&quot;,&quot;title&quot;:&quot;The carbon dioxide challenge facing U.S. aviation and paths to achieve net zero emissions by 2050&quot;,&quot;author&quot;:[{&quot;family&quot;:&quot;Jensen&quot;,&quot;given&quot;:&quot;Luke L.&quot;,&quot;parse-names&quot;:false,&quot;dropping-particle&quot;:&quot;&quot;,&quot;non-dropping-particle&quot;:&quot;&quot;},{&quot;family&quot;:&quot;Bonnefoy&quot;,&quot;given&quot;:&quot;Philippe A.&quot;,&quot;parse-names&quot;:false,&quot;dropping-particle&quot;:&quot;&quot;,&quot;non-dropping-particle&quot;:&quot;&quot;},{&quot;family&quot;:&quot;Hileman&quot;,&quot;given&quot;:&quot;James I.&quot;,&quot;parse-names&quot;:false,&quot;dropping-particle&quot;:&quot;&quot;,&quot;non-dropping-particle&quot;:&quot;&quot;},{&quot;family&quot;:&quot;Fitzgerald&quot;,&quot;given&quot;:&quot;Jay T.&quot;,&quot;parse-names&quot;:false,&quot;dropping-particle&quot;:&quot;&quot;,&quot;non-dropping-particle&quot;:&quot;&quot;}],&quot;container-title&quot;:&quot;Progress in Aerospace Sciences&quot;,&quot;accessed&quot;:{&quot;date-parts&quot;:[[2026,2,3]]},&quot;DOI&quot;:&quot;10.1016/j.paerosci.2023.100921&quot;,&quot;ISSN&quot;:&quot;03760421&quot;,&quot;URL&quot;:&quot;https://www.sciencedirect.com/science/article/abs/pii/S0376042123000374&quot;,&quot;issued&quot;:{&quot;date-parts&quot;:[[2023,8,1]]},&quot;page&quot;:&quot;100921&quot;,&quot;abstract&quot;:&quot;This paper investigates the potential pathways and associated requirements to meet a goal of net-zero greenhouse gas (GHG) emissions from the US commercial aviation sector by 2050 as outlined in the US 2021 Aviation Climate Action Plan. Aviation traffic (RTK) is projected to grow at an average of 2.0% per annum between 2019 and 2050, suggesting that a progressive and ultimately total decoupling of emissions from traffic growth will be required to meet the US aviation sector goal. Aircraft technology advancements, operational efficiency improvements, sustainable aviation fuels, and market-based measures (MBM) are considered as emissions reductions measures towards the goal. A parametric analysis framework is used to develop low, medium, and high emission reduction scenarios for each of these emissions reduction measures. If aircraft technology, operations, and fuels were frozen at 2019 levels, the aviation sector is projected to emit ≈430 million tonnes of CO2 (MtCO2) in 2050. Retirements of older aircraft, replaced by current-generation alternatives, may contribute 17% of the total 2050 emissions reduction goal. Further introduction of advanced aircraft technologies may contribute an additional system-level 11% emissions reductions towards the goal. Operational improvements may contribute ≈2% with a range from 1.5 to 4%. The remaining 70% of emissions in 2050 will be addressed through a combination of sustainable fuels and MBM, where appropriate. The level of contribution from fuels will be dependent on continued production ramp-up to meet aviation demand as well as improvements in lifecycle emissions reduction factor (ERF) for current and future fuel feedstock and production pathways, ranging from 0% for current petroleum-based fuels to 100% for sustainable aviation fuels with zero life-cycle emissions. Meeting a net-zero emissions goal by 2050 with SAF would require an increase in SAF production by 57% annually from 2022 to 2030 and 13% per year thereafter, reaching 100% emissions reductions factor by 2050. MBM may fill the gap between residual lifecycle emissions after accounting for all other in-sector improvement opportunities and the goal.&quot;,&quot;publisher&quot;:&quot;Pergamon&quot;,&quot;volume&quot;:&quot;141&quot;,&quot;container-title-short&quot;:&quot;&quot;},&quot;isTemporary&quot;:false,&quot;suppress-author&quot;:false,&quot;composite&quot;:false,&quot;author-only&quot;:false}]},{&quot;citationID&quot;:&quot;MENDELEY_CITATION_38d7119d-fc05-4473-afbd-19e13292eb81&quot;,&quot;properties&quot;:{&quot;noteIndex&quot;:0},&quot;isEdited&quot;:false,&quot;manualOverride&quot;:{&quot;isManuallyOverridden&quot;:false,&quot;citeprocText&quot;:&quot;[9]&quot;,&quot;manualOverrideText&quot;:&quot;&quot;},&quot;citationTag&quot;:&quot;MENDELEY_CITATION_v3_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&quot;,&quot;citationItems&quot;:[{&quot;id&quot;:&quot;b0c2241f-3bff-3d67-8d16-5feb77dc9305&quot;,&quot;itemData&quot;:{&quot;type&quot;:&quot;article-journal&quot;,&quot;id&quot;:&quot;b0c2241f-3bff-3d67-8d16-5feb77dc9305&quot;,&quot;title&quot;:&quot;on ensuring a level playing field for sustainable air transport (ReFuelEU Aviation) (Text with EEA relevance)&quot;,&quot;accessed&quot;:{&quot;date-parts&quot;:[[2026,2,3]]},&quot;URL&quot;:&quot;http://data.europa.eu/eli/reg/2023/2405/oj&quot;,&quot;issued&quot;:{&quot;date-parts&quot;:[[2023]]},&quot;container-title-short&quot;:&quot;&quot;},&quot;isTemporary&quot;:false,&quot;suppress-author&quot;:false,&quot;composite&quot;:false,&quot;author-only&quot;:false}]},{&quot;citationID&quot;:&quot;MENDELEY_CITATION_69aaee63-7bf9-45d5-a871-1260581ec679&quot;,&quot;properties&quot;:{&quot;noteIndex&quot;:0},&quot;isEdited&quot;:false,&quot;manualOverride&quot;:{&quot;isManuallyOverridden&quot;:false,&quot;citeprocText&quot;:&quot;[10]&quot;,&quot;manualOverrideText&quot;:&quot;&quot;},&quot;citationTag&quot;:&quot;MENDELEY_CITATION_v3_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&quot;,&quot;citationItems&quot;:[{&quot;id&quot;:&quot;09e0aec8-4ca6-3caf-883b-8abf0b93bbf0&quot;,&quot;itemData&quot;:{&quot;type&quot;:&quot;webpage&quot;,&quot;id&quot;:&quot;09e0aec8-4ca6-3caf-883b-8abf0b93bbf0&quot;,&quot;title&quot;:&quot;Sustainable Aviation Fuel Grand Challenge | Department of Energy&quot;,&quot;accessed&quot;:{&quot;date-parts&quot;:[[2026,2,3]]},&quot;URL&quot;:&quot;https://www.energy.gov/eere/bioenergy/sustainable-aviation-fuel-grand-challenge&quot;,&quot;container-title-short&quot;:&quot;&quot;},&quot;isTemporary&quot;:false,&quot;suppress-author&quot;:false,&quot;composite&quot;:false,&quot;author-only&quot;:false}]},{&quot;citationID&quot;:&quot;MENDELEY_CITATION_72cbeb61-092a-4947-944a-31b4b5e4e3ae&quot;,&quot;properties&quot;:{&quot;noteIndex&quot;:0},&quot;isEdited&quot;:false,&quot;manualOverride&quot;:{&quot;isManuallyOverridden&quot;:false,&quot;citeprocText&quot;:&quot;[11]&quot;,&quot;manualOverrideText&quot;:&quot;&quot;},&quot;citationTag&quot;:&quot;MENDELEY_CITATION_v3_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&quot;,&quot;citationItems&quot;:[{&quot;id&quot;:&quot;11d309f9-914a-3cae-92e0-e00446d6dd67&quot;,&quot;itemData&quot;:{&quot;type&quot;:&quot;webpage&quot;,&quot;id&quot;:&quot;11d309f9-914a-3cae-92e0-e00446d6dd67&quot;,&quot;title&quot;:&quot;IATA - Sustainable Aviation Fuel (SAF)&quot;,&quot;accessed&quot;:{&quot;date-parts&quot;:[[2026,2,3]]},&quot;URL&quot;:&quot;https://www.iata.org/en/programs/sustainability/sustainable-aviation-fuels/&quot;,&quot;container-title-short&quot;:&quot;&quot;},&quot;isTemporary&quot;:false,&quot;suppress-author&quot;:false,&quot;composite&quot;:false,&quot;author-only&quot;:false}]},{&quot;citationID&quot;:&quot;MENDELEY_CITATION_a69a35cc-e7b0-4e8b-878c-7fbfd87d1cfa&quot;,&quot;properties&quot;:{&quot;noteIndex&quot;:0},&quot;isEdited&quot;:false,&quot;manualOverride&quot;:{&quot;isManuallyOverridden&quot;:false,&quot;citeprocText&quot;:&quot;[12]&quot;,&quot;manualOverrideText&quot;:&quot;&quot;},&quot;citationTag&quot;:&quot;MENDELEY_CITATION_v3_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&quot;,&quot;citationItems&quot;:[{&quot;id&quot;:&quot;59119118-311b-39ec-8b34-7da71459057d&quot;,&quot;itemData&quot;:{&quot;type&quot;:&quot;article-journal&quot;,&quot;id&quot;:&quot;59119118-311b-39ec-8b34-7da71459057d&quot;,&quot;title&quot;:&quot;Specification for Aviation Turbine Fuel Containing Synthesized Hydrocarbons&quot;,&quot;accessed&quot;:{&quot;date-parts&quot;:[[2026,2,3]]},&quot;DOI&quot;:&quot;10.1520/D7566-23&quot;,&quot;URL&quot;:&quot;https://store.astm.org/d7566-23.html&quot;,&quot;issued&quot;:{&quot;date-parts&quot;:[[2023,6,1]]},&quot;publisher-place&quot;:&quot;West Conshohocken, PA&quot;,&quot;publisher&quot;:&quot;ASTM International&quot;,&quot;container-title-short&quot;:&quot;&quot;},&quot;isTemporary&quot;:false,&quot;suppress-author&quot;:false,&quot;composite&quot;:false,&quot;author-only&quot;:false}]},{&quot;citationID&quot;:&quot;MENDELEY_CITATION_379490b5-081a-4c5b-b055-7e9928615fc0&quot;,&quot;properties&quot;:{&quot;noteIndex&quot;:0},&quot;isEdited&quot;:false,&quot;manualOverride&quot;:{&quot;isManuallyOverridden&quot;:false,&quot;citeprocText&quot;:&quot;[13,14]&quot;,&quot;manualOverrideText&quot;:&quot;&quot;},&quot;citationTag&quot;:&quot;MENDELEY_CITATION_v3_eyJjaXRhdGlvbklEIjoiTUVOREVMRVlfQ0lUQVRJT05fMzc5NDkwYjUtMDgxYS00YzViLWIwNTUtN2U5OTI4NjE1ZmMwIiwicHJvcGVydGllcyI6eyJub3RlSW5kZXgiOjB9LCJpc0VkaXRlZCI6ZmFsc2UsIm1hbnVhbE92ZXJyaWRlIjp7ImlzTWFudWFsbHlPdmVycmlkZGVuIjpmYWxzZSwiY2l0ZXByb2NUZXh0IjoiWzEzLDE0XSIsIm1hbnVhbE92ZXJyaWRlVGV4dCI6IiJ9LCJjaXRhdGlvbkl0ZW1zIjpbeyJpZCI6IjlmNTNjNDA1LTkzNWQtMzU2My05ZWU4LTUxNjQ4ZTA0MjFiMCIsIml0ZW1EYXRhIjp7InR5cGUiOiJhcnRpY2xlLWpvdXJuYWwiLCJpZCI6IjlmNTNjNDA1LTkzNWQtMzU2My05ZWU4LTUxNjQ4ZTA0MjFiMC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M1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2MTBmMjQwLWEyNTktMzhjYy1hMTljLTA5YThlNzA4MDI5NSIsIml0ZW1EYXRhIjp7InR5cGUiOiJhcnRpY2xlLWpvdXJuYWwiLCJpZCI6IjE2MTBmMjQwLWEyNTktMzhjYy1hMTljLTA5YThlNzA4MDI5N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z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quot;,&quot;citationItems&quot;:[{&quot;id&quot;:&quot;9f53c405-935d-3563-9ee8-51648e0421b0&quot;,&quot;itemData&quot;:{&quot;type&quot;:&quot;article-journal&quot;,&quot;id&quot;:&quot;9f53c405-935d-3563-9ee8-51648e0421b0&quot;,&quot;title&quot;:&quot;Case study on Bioeconomy Campus, Central Finland&quot;,&quot;author&quot;:[{&quot;family&quot;:&quot;Ylimartimo&quot;,&quot;given&quot;:&quot;Anneli&quot;,&quot;parse-names&quot;:false,&quot;dropping-particle&quot;:&quot;&quot;,&quot;non-dropping-particle&quot;:&quot;&quot;}],&quot;container-title&quot;:&quot;Biofuels, Bioproducts and Biorefining&quot;,&quot;accessed&quot;:{&quot;date-parts&quot;:[[2026,2,3]]},&quot;DOI&quot;:&quot;10.1002/bbb.1739&quot;,&quot;ISSN&quot;:&quot;19321031&quot;,&quot;URL&quot;:&quot;/doi/pdf/10.1002/bbb.1739&quot;,&quot;issued&quot;:{&quot;date-parts&quot;:[[2018,3,1]]},&quot;page&quot;:&quot;177-186&quot;,&quot;abstract&quot;:&quot;This paper studies the development path, assets, and challenges of an initiative for a bioeconomy innovation ecosystem located in a sparsely populated rural area. The case studied is the Bioeconomy Campus in northern Central Finland. Central Finland was one of the European bioregions whose bioeconomy was analyzed from the clustering point of view by the FP7 project BERST - BioEconomy Regional Strategy Toolkit (2013–2015). In this paper, the role of the Bioeconomy Campus in the Finnish research, development, and innovation (RDI) system is described and the development path of the campus is studied in the context of the BERST results from Central Finland. The cluster analyses in BERST were based on information about bioeconomy clusters located mostly in densely populated central European areas with big industries. The potential of the Bioeconomy Campus to further develop and to promote smart growth in the surrounding rural environment is discussed by comparing the findings of this case study with the BERST results and with some results presented in literature on clusters and innovation ecosystems. The main aim of the comparison is to get indication of the relevance and usefulness of this type of down-scaling for further exploitation of BERST results. © 2016 Society of Chemical Industry and John Wiley &amp; Sons, Ltd.&quot;,&quot;publisher&quot;:&quot;John Wiley &amp; Sons, Ltd&quot;,&quot;issue&quot;:&quot;2&quot;,&quot;volume&quot;:&quot;12&quot;,&quot;container-title-short&quot;:&quot;&quot;},&quot;isTemporary&quot;:false,&quot;suppress-author&quot;:false,&quot;composite&quot;:false,&quot;author-only&quot;:false},{&quot;id&quot;:&quot;1610f240-a259-38cc-a19c-09a8e7080295&quot;,&quot;itemData&quot;:{&quot;type&quot;:&quot;article-journal&quot;,&quot;id&quot;:&quot;1610f240-a259-38cc-a19c-09a8e7080295&quot;,&quot;title&quot;:&quot;Aviation CO2 emissions reductions from the use of alternative jet fuels&quot;,&quot;author&quot;:[{&quot;family&quot;:&quot;Staples&quot;,&quot;given&quot;:&quot;Mark D.&quot;,&quot;parse-names&quot;:false,&quot;dropping-particle&quot;:&quot;&quot;,&quot;non-dropping-particle&quot;:&quot;&quot;},{&quot;family&quot;:&quot;Malina&quot;,&quot;given&quot;:&quot;Robert&quot;,&quot;parse-names&quot;:false,&quot;dropping-particle&quot;:&quot;&quot;,&quot;non-dropping-particle&quot;:&quot;&quot;},{&quot;family&quot;:&quot;Suresh&quot;,&quot;given&quot;:&quot;Pooja&quot;,&quot;parse-names&quot;:false,&quot;dropping-particle&quot;:&quot;&quot;,&quot;non-dropping-particle&quot;:&quot;&quot;},{&quot;family&quot;:&quot;Hileman&quot;,&quot;given&quot;:&quot;James I.&quot;,&quot;parse-names&quot;:false,&quot;dropping-particle&quot;:&quot;&quot;,&quot;non-dropping-particle&quot;:&quot;&quot;},{&quot;family&quot;:&quot;Barrett&quot;,&quot;given&quot;:&quot;Steven R.H.&quot;,&quot;parse-names&quot;:false,&quot;dropping-particle&quot;:&quot;&quot;,&quot;non-dropping-particle&quot;:&quot;&quot;}],&quot;container-title&quot;:&quot;Energy Policy&quot;,&quot;container-title-short&quot;:&quot;Energy Policy&quot;,&quot;accessed&quot;:{&quot;date-parts&quot;:[[2026,2,3]]},&quot;DOI&quot;:&quot;10.1016/j.enpol.2017.12.007&quot;,&quot;ISSN&quot;:&quot;03014215&quot;,&quot;URL&quot;:&quot;https://www.sciencedirect.com/science/article/abs/pii/S0301421517308224?via%3Dihub&quot;,&quot;issued&quot;:{&quot;date-parts&quot;:[[2018,3,1]]},&quot;page&quot;:&quot;342-354&quot;,&quot;abstract&quot;:&quot;Although a relatively small contributor to annual anthropogenic CO2 emissions (~2.6%), commercial aviation activity is growing at ~5% per annum. As a result, alternative jet fuel (AJF) technologies have garnered interest as a means to achieve large, near-term emissions reductions for the industry. This analysis quantifies the potential for AJF to reduce aviation's CO2 emissions by assessing: the availability of AJF feedstock; AJF volumes that could be produced from that feedstock; the lifecycle emissions of AJF compared to petroleum-derived jet fuel; and the number of bio-refineries and capital investment required to achieve the calculated emission reductions. We find that, if the use of AJF is to reduce aviation's lifecycle GHG emissions by 50% or more by 2050, prices or policies will have to significantly incentivize the production of bioenergy and waste feedstocks, and AJF production will need to be prioritized over other potential uses of these resources. Reductions of 15% by 2050 would require construction of ~60 new bio-refineries annually (similar to growth in global biofuel production capacity in the early 2000s), and capital investment of ~12 billion USD2015 per year (~1/5 of annual capital investment in petroleum refining).&quot;,&quot;publisher&quot;:&quot;Elsevier&quot;,&quot;volume&quot;:&quot;114&quot;},&quot;isTemporary&quot;:false,&quot;suppress-author&quot;:false,&quot;composite&quot;:false,&quot;author-only&quot;:false}]},{&quot;citationID&quot;:&quot;MENDELEY_CITATION_7fe327a4-a6f5-43a4-a280-8d08c6d4c8cb&quot;,&quot;properties&quot;:{&quot;noteIndex&quot;:0},&quot;isEdited&quot;:false,&quot;manualOverride&quot;:{&quot;isManuallyOverridden&quot;:false,&quot;citeprocText&quot;:&quot;[15,16]&quot;,&quot;manualOverrideText&quot;:&quot;&quot;},&quot;citationTag&quot;:&quot;MENDELEY_CITATION_v3_eyJjaXRhdGlvbklEIjoiTUVOREVMRVlfQ0lUQVRJT05fN2ZlMzI3YTQtYTZmNS00M2E0LWEyODAtOGQwOGM2ZDRjOGNiIiwicHJvcGVydGllcyI6eyJub3RlSW5kZXgiOjB9LCJpc0VkaXRlZCI6ZmFsc2UsIm1hbnVhbE92ZXJyaWRlIjp7ImlzTWFudWFsbHlPdmVycmlkZGVuIjpmYWxzZSwiY2l0ZXByb2NUZXh0IjoiWzE1LDE2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&quot;,&quot;citationItems&quot;:[{&quot;id&quot;:&quot;71ae17ae-6bcc-3420-82d8-0c220e1e89ac&quot;,&quot;itemData&quot;:{&quot;type&quot;:&quot;article-journal&quot;,&quot;id&quot;:&quot;71ae17ae-6bcc-3420-82d8-0c220e1e89ac&quot;,&quot;title&quot;:&quot;Case study on Bioeconomy Campus, Central Finland&quot;,&quot;author&quot;:[{&quot;family&quot;:&quot;Ylimartimo&quot;,&quot;given&quot;:&quot;Anneli&quot;,&quot;parse-names&quot;:false,&quot;dropping-particle&quot;:&quot;&quot;,&quot;non-dropping-particle&quot;:&quot;&quot;}],&quot;container-title&quot;:&quot;Biofuels, Bioproducts and Biorefining&quot;,&quot;accessed&quot;:{&quot;date-parts&quot;:[[2026,2,4]]},&quot;DOI&quot;:&quot;10.1002/bbb.1739&quot;,&quot;ISSN&quot;:&quot;19321031&quot;,&quot;URL&quot;:&quot;/doi/pdf/10.1002/bbb.1739&quot;,&quot;issued&quot;:{&quot;date-parts&quot;:[[2018,3,1]]},&quot;page&quot;:&quot;177-186&quot;,&quot;abstract&quot;:&quot;This paper studies the development path, assets, and challenges of an initiative for a bioeconomy innovation ecosystem located in a sparsely populated rural area. The case studied is the Bioeconomy Campus in northern Central Finland. Central Finland was one of the European bioregions whose bioeconomy was analyzed from the clustering point of view by the FP7 project BERST - BioEconomy Regional Strategy Toolkit (2013–2015). In this paper, the role of the Bioeconomy Campus in the Finnish research, development, and innovation (RDI) system is described and the development path of the campus is studied in the context of the BERST results from Central Finland. The cluster analyses in BERST were based on information about bioeconomy clusters located mostly in densely populated central European areas with big industries. The potential of the Bioeconomy Campus to further develop and to promote smart growth in the surrounding rural environment is discussed by comparing the findings of this case study with the BERST results and with some results presented in literature on clusters and innovation ecosystems. The main aim of the comparison is to get indication of the relevance and usefulness of this type of down-scaling for further exploitation of BERST results. © 2016 Society of Chemical Industry and John Wiley &amp; Sons, Ltd.&quot;,&quot;publisher&quot;:&quot;John Wiley &amp; Sons, Ltd&quot;,&quot;issue&quot;:&quot;2&quot;,&quot;volume&quot;:&quot;12&quot;,&quot;container-title-short&quot;:&quot;&quot;},&quot;isTemporary&quot;:false,&quot;suppress-author&quot;:false,&quot;composite&quot;:false,&quot;author-only&quot;:false},{&quot;id&quot;:&quot;105235d8-24c7-33c8-852b-75596650ffbe&quot;,&quot;itemData&quot;:{&quot;type&quot;:&quot;article-journal&quot;,&quot;id&quot;:&quot;105235d8-24c7-33c8-852b-75596650ffbe&quot;,&quot;title&quot;:&quot;Aviation CO2 emissions reductions from the use of alternative jet fuels&quot;,&quot;author&quot;:[{&quot;family&quot;:&quot;Staples&quot;,&quot;given&quot;:&quot;Mark D.&quot;,&quot;parse-names&quot;:false,&quot;dropping-particle&quot;:&quot;&quot;,&quot;non-dropping-particle&quot;:&quot;&quot;},{&quot;family&quot;:&quot;Malina&quot;,&quot;given&quot;:&quot;Robert&quot;,&quot;parse-names&quot;:false,&quot;dropping-particle&quot;:&quot;&quot;,&quot;non-dropping-particle&quot;:&quot;&quot;},{&quot;family&quot;:&quot;Suresh&quot;,&quot;given&quot;:&quot;Pooja&quot;,&quot;parse-names&quot;:false,&quot;dropping-particle&quot;:&quot;&quot;,&quot;non-dropping-particle&quot;:&quot;&quot;},{&quot;family&quot;:&quot;Hileman&quot;,&quot;given&quot;:&quot;James I.&quot;,&quot;parse-names&quot;:false,&quot;dropping-particle&quot;:&quot;&quot;,&quot;non-dropping-particle&quot;:&quot;&quot;},{&quot;family&quot;:&quot;Barrett&quot;,&quot;given&quot;:&quot;Steven R.H.&quot;,&quot;parse-names&quot;:false,&quot;dropping-particle&quot;:&quot;&quot;,&quot;non-dropping-particle&quot;:&quot;&quot;}],&quot;container-title&quot;:&quot;Energy Policy&quot;,&quot;container-title-short&quot;:&quot;Energy Policy&quot;,&quot;accessed&quot;:{&quot;date-parts&quot;:[[2026,2,4]]},&quot;DOI&quot;:&quot;10.1016/j.enpol.2017.12.007&quot;,&quot;ISSN&quot;:&quot;03014215&quot;,&quot;URL&quot;:&quot;https://www.sciencedirect.com/science/article/abs/pii/S0301421517308224?via%3Dihub&quot;,&quot;issued&quot;:{&quot;date-parts&quot;:[[2018,3,1]]},&quot;page&quot;:&quot;342-354&quot;,&quot;abstract&quot;:&quot;Although a relatively small contributor to annual anthropogenic CO2 emissions (~2.6%), commercial aviation activity is growing at ~5% per annum. As a result, alternative jet fuel (AJF) technologies have garnered interest as a means to achieve large, near-term emissions reductions for the industry. This analysis quantifies the potential for AJF to reduce aviation's CO2 emissions by assessing: the availability of AJF feedstock; AJF volumes that could be produced from that feedstock; the lifecycle emissions of AJF compared to petroleum-derived jet fuel; and the number of bio-refineries and capital investment required to achieve the calculated emission reductions. We find that, if the use of AJF is to reduce aviation's lifecycle GHG emissions by 50% or more by 2050, prices or policies will have to significantly incentivize the production of bioenergy and waste feedstocks, and AJF production will need to be prioritized over other potential uses of these resources. Reductions of 15% by 2050 would require construction of ~60 new bio-refineries annually (similar to growth in global biofuel production capacity in the early 2000s), and capital investment of ~12 billion USD2015 per year (~1/5 of annual capital investment in petroleum refining).&quot;,&quot;publisher&quot;:&quot;Elsevier&quot;,&quot;volume&quot;:&quot;114&quot;},&quot;isTemporary&quot;:false,&quot;suppress-author&quot;:false,&quot;composite&quot;:false,&quot;author-only&quot;:false}]},{&quot;citationID&quot;:&quot;MENDELEY_CITATION_7b47816d-1656-44c9-82ec-9308b74ec62d&quot;,&quot;properties&quot;:{&quot;noteIndex&quot;:0},&quot;isEdited&quot;:false,&quot;manualOverride&quot;:{&quot;isManuallyOverridden&quot;:false,&quot;citeprocText&quot;:&quot;[15]&quot;,&quot;manualOverrideText&quot;:&quot;&quot;},&quot;citationTag&quot;:&quot;MENDELEY_CITATION_v3_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&quot;,&quot;citationItems&quot;:[{&quot;id&quot;:&quot;71ae17ae-6bcc-3420-82d8-0c220e1e89ac&quot;,&quot;itemData&quot;:{&quot;type&quot;:&quot;article-journal&quot;,&quot;id&quot;:&quot;71ae17ae-6bcc-3420-82d8-0c220e1e89ac&quot;,&quot;title&quot;:&quot;Case study on Bioeconomy Campus, Central Finland&quot;,&quot;author&quot;:[{&quot;family&quot;:&quot;Ylimartimo&quot;,&quot;given&quot;:&quot;Anneli&quot;,&quot;parse-names&quot;:false,&quot;dropping-particle&quot;:&quot;&quot;,&quot;non-dropping-particle&quot;:&quot;&quot;}],&quot;container-title&quot;:&quot;Biofuels, Bioproducts and Biorefining&quot;,&quot;accessed&quot;:{&quot;date-parts&quot;:[[2026,2,4]]},&quot;DOI&quot;:&quot;10.1002/bbb.1739&quot;,&quot;ISSN&quot;:&quot;19321031&quot;,&quot;URL&quot;:&quot;/doi/pdf/10.1002/bbb.1739&quot;,&quot;issued&quot;:{&quot;date-parts&quot;:[[2018,3,1]]},&quot;page&quot;:&quot;177-186&quot;,&quot;abstract&quot;:&quot;This paper studies the development path, assets, and challenges of an initiative for a bioeconomy innovation ecosystem located in a sparsely populated rural area. The case studied is the Bioeconomy Campus in northern Central Finland. Central Finland was one of the European bioregions whose bioeconomy was analyzed from the clustering point of view by the FP7 project BERST - BioEconomy Regional Strategy Toolkit (2013–2015). In this paper, the role of the Bioeconomy Campus in the Finnish research, development, and innovation (RDI) system is described and the development path of the campus is studied in the context of the BERST results from Central Finland. The cluster analyses in BERST were based on information about bioeconomy clusters located mostly in densely populated central European areas with big industries. The potential of the Bioeconomy Campus to further develop and to promote smart growth in the surrounding rural environment is discussed by comparing the findings of this case study with the BERST results and with some results presented in literature on clusters and innovation ecosystems. The main aim of the comparison is to get indication of the relevance and usefulness of this type of down-scaling for further exploitation of BERST results. © 2016 Society of Chemical Industry and John Wiley &amp; Sons, Ltd.&quot;,&quot;publisher&quot;:&quot;John Wiley &amp; Sons, Ltd&quot;,&quot;issue&quot;:&quot;2&quot;,&quot;volume&quot;:&quot;12&quot;,&quot;container-title-short&quot;:&quot;&quot;},&quot;isTemporary&quot;:false,&quot;suppress-author&quot;:false,&quot;composite&quot;:false,&quot;author-only&quot;:false}]},{&quot;citationID&quot;:&quot;MENDELEY_CITATION_84591a66-11d1-4a49-9867-1b08908a3c29&quot;,&quot;properties&quot;:{&quot;noteIndex&quot;:0},&quot;isEdited&quot;:false,&quot;manualOverride&quot;:{&quot;isManuallyOverridden&quot;:false,&quot;citeprocText&quot;:&quot;[17,18]&quot;,&quot;manualOverrideText&quot;:&quot;&quot;},&quot;citationItems&quot;:[{&quot;id&quot;:&quot;96d0f8a5-8926-36c9-b7a0-962eb57920d5&quot;,&quot;itemData&quot;:{&quot;type&quot;:&quot;article-journal&quot;,&quot;id&quot;:&quot;96d0f8a5-8926-36c9-b7a0-962eb57920d5&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2,3]]},&quot;DOI&quot;:&quot;10.1136/bmj.n71&quot;,&quot;ISSN&quot;:&quot;17561833&quot;,&quot;PMID&quot;:&quot;33780438&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id&quot;:&quot;52bb014d-7770-39ef-a3b4-3b8f546ff2eb&quot;,&quot;itemData&quot;:{&quot;type&quot;:&quot;article-journal&quot;,&quot;id&quot;:&quot;52bb014d-7770-39ef-a3b4-3b8f546ff2eb&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2,6]]},&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citationTag&quot;:&quot;MENDELEY_CITATION_v3_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hY2Nlc3NlZCI6eyJkYXRlLXBhcnRzIjpbWzIwMjYsMiwzXV19LCJET0kiOiIxMC4xMTM2L2Jtai5uNzEiLCJJU1NOIjoiMTc1NjE4MzMiLCJQTUlEIjoiMzM3ODA0Mzg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Sx7ImlkIjoiNTJiYjAxNGQtNzc3MC0zOWVmLWEzYjQtM2I4ZjU0NmZmMmViIiwiaXRlbURhdGEiOnsidHlwZSI6ImFydGljbGUtam91cm5hbCIsImlkIjoiNTJiYjAxNGQtNzc3MC0zOWVmLWEzYjQtM2I4ZjU0NmZmMmVi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yLDZ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quot;},{&quot;citationID&quot;:&quot;MENDELEY_CITATION_c9c6bc96-926b-4c93-88b3-d7290d1f8b9a&quot;,&quot;properties&quot;:{&quot;noteIndex&quot;:0},&quot;isEdited&quot;:false,&quot;manualOverride&quot;:{&quot;isManuallyOverridden&quot;:false,&quot;citeprocText&quot;:&quot;[19]&quot;,&quot;manualOverrideText&quot;:&quot;&quot;},&quot;citationTag&quot;:&quot;MENDELEY_CITATION_v3_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&quot;,&quot;citationItems&quot;:[{&quot;id&quot;:&quot;528ec93a-bf95-3063-87db-49059a4f5b2c&quot;,&quot;itemData&quot;:{&quot;type&quot;:&quot;article-journal&quot;,&quot;id&quot;:&quot;528ec93a-bf95-3063-87db-49059a4f5b2c&quot;,&quot;title&quot;:&quot;BEST PRACTICES FOR LIFE CYCLE ASSESSMENT (LCA) OF DIRECT AIR CAPTURE WITH STORAGE (DACS)&quot;,&quot;author&quot;:[{&quot;family&quot;:&quot;Cooney June&quot;,&quot;given&quot;:&quot;Greg&quot;,&quot;parse-names&quot;:false,&quot;dropping-particle&quot;:&quot;&quot;,&quot;non-dropping-particle&quot;:&quot;&quot;}],&quot;accessed&quot;:{&quot;date-parts&quot;:[[2026,2,6]]},&quot;URL&quot;:&quot;https://www.energy.gov/fecm/best-practices-LCA-DACS&quot;,&quot;issued&quot;:{&quot;date-parts&quot;:[[2022]]}},&quot;isTemporary&quot;:false,&quot;suppress-author&quot;:false,&quot;composite&quot;:false,&quot;author-only&quot;:false}]},{&quot;citationID&quot;:&quot;MENDELEY_CITATION_eb305b71-ddfa-4cb0-95f6-ddf45d18b0b5&quot;,&quot;properties&quot;:{&quot;noteIndex&quot;:0},&quot;isEdited&quot;:false,&quot;manualOverride&quot;:{&quot;isManuallyOverridden&quot;:false,&quot;citeprocText&quot;:&quot;[20]&quot;,&quot;manualOverrideText&quot;:&quot;&quot;},&quot;citationTag&quot;:&quot;MENDELEY_CITATION_v3_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&quot;,&quot;citationItems&quot;:[{&quot;id&quot;:&quot;e9a16d40-c073-31c6-8d23-e7ff60404b22&quot;,&quot;itemData&quot;:{&quot;type&quot;:&quot;article-journal&quot;,&quot;id&quot;:&quot;e9a16d40-c073-31c6-8d23-e7ff60404b22&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6,2,3]]},&quot;DOI&quot;:&quot;10.1039/c6gc02800d&quot;,&quot;ISSN&quot;:&quot;14639270&quot;,&quot;URL&quot;:&quot;https://pubs.rsc.org/en/content/articlehtml/2017/gc/c6gc02800d&quot;,&quot;issued&quot;:{&quot;date-parts&quot;:[[2017,2,21]]},&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The Royal Society of Chemistry&quot;,&quot;issue&quot;:&quot;4&quot;,&quot;volume&quot;:&quot;19&quot;,&quot;container-title-short&quot;:&quot;&quot;},&quot;isTemporary&quot;:false,&quot;suppress-author&quot;:false,&quot;composite&quot;:false,&quot;author-only&quot;:false}]},{&quot;citationID&quot;:&quot;MENDELEY_CITATION_dde88503-c60f-4f9b-8b47-12bfd7c814d7&quot;,&quot;properties&quot;:{&quot;noteIndex&quot;:0},&quot;isEdited&quot;:false,&quot;manualOverride&quot;:{&quot;isManuallyOverridden&quot;:false,&quot;citeprocText&quot;:&quot;[21]&quot;,&quot;manualOverrideText&quot;:&quot;&quot;},&quot;citationTag&quot;:&quot;MENDELEY_CITATION_v3_eyJjaXRhdGlvbklEIjoiTUVOREVMRVlfQ0lUQVRJT05fZGRlODg1MDMtYzYwZi00ZjliLThiNDctMTJiZmQ3YzgxNGQ3IiwicHJvcGVydGllcyI6eyJub3RlSW5kZXgiOjB9LCJpc0VkaXRlZCI6ZmFsc2UsIm1hbnVhbE92ZXJyaWRlIjp7ImlzTWFudWFsbHlPdmVycmlkZGVuIjpmYWxzZSwiY2l0ZXByb2NUZXh0IjoiWzIxXSIsIm1hbnVhbE92ZXJyaWRlVGV4dCI6IiJ9LCJjaXRhdGlvbkl0ZW1zIjpbeyJpZCI6ImZhODYzNDEyLWJhMDEtMzIxMC1hZjIzLWQxODc3MzM4YjhlYiIsIml0ZW1EYXRhIjp7InR5cGUiOiJhcnRpY2xlLWpvdXJuYWwiLCJpZCI6ImZhODYzNDEyLWJhMDEtMzIxMC1hZjIzLWQxODc3MzM4YjhlY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QmlvZnVlbHMgMjAxNyAxMDoxIiwiYWNjZXNzZWQiOnsiZGF0ZS1wYXJ0cyI6W1syMDI2LDIsM11dfSwiRE9JIjoiMTAuMTE4Ni9zMTMwNjgtMDE3LTA2OTgteiIsIklTU04iOiIxNzU0NjgzNCIsIlBNSUQiOiIyODEzODMzOSIsIlVSTCI6Imh0dHBzOi8vbGluay5zcHJpbmdlci5jb20vYXJ0aWNsZS8xMC4xMTg2L3MxMzA2OC0wMTctMDY5OC16IiwiaXNzdWVkIjp7ImRhdGUtcGFydHMiOltbMjAxNywxLDI0XV19LCJwYWdlIjoiMjEtIiwiYWJzdHJhY3QiOiJ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Jm5ic3A7ZyBDTzJlL01KIHRoYW4gdGhvc2UgZXN0aW1hdGVkIHdpdGggYW4gZW5lcmd5IGFsbG9jYXRpb24gbWV0aG9kL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NZWQgQ2VudHJhbCIsImlzc3VlIjoiMSIsInZvbHVtZSI6IjEwIiwiY29udGFpbmVyLXRpdGxlLXNob3J0IjoiIn0sImlzVGVtcG9yYXJ5IjpmYWxzZSwic3VwcHJlc3MtYXV0aG9yIjpmYWxzZSwiY29tcG9zaXRlIjpmYWxzZSwiYXV0aG9yLW9ubHkiOmZhbHNlfV19&quot;,&quot;citationItems&quot;:[{&quot;id&quot;:&quot;fa863412-ba01-3210-af23-d1877338b8eb&quot;,&quot;itemData&quot;:{&quot;type&quot;:&quot;article-journal&quot;,&quot;id&quot;:&quot;fa863412-ba01-3210-af23-d1877338b8eb&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 2017 10:1&quot;,&quot;accessed&quot;:{&quot;date-parts&quot;:[[2026,2,3]]},&quot;DOI&quot;:&quot;10.1186/s13068-017-0698-z&quot;,&quot;ISSN&quot;:&quot;17546834&quot;,&quot;PMID&quot;:&quot;28138339&quot;,&quot;URL&quot;:&quot;https://link.springer.com/article/10.1186/s13068-017-0698-z&quot;,&quot;issued&quot;:{&quot;date-parts&quot;:[[2017,1,24]]},&quot;page&quot;:&quot;21-&quot;,&quot;abstract&quot;:&quot;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amp;nbsp;g CO2e/MJ than those estimated with an energy allocation method.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Med Central&quot;,&quot;issue&quot;:&quot;1&quot;,&quot;volume&quot;:&quot;10&quot;,&quot;container-title-short&quot;:&quot;&quot;},&quot;isTemporary&quot;:false,&quot;suppress-author&quot;:false,&quot;composite&quot;:false,&quot;author-only&quot;:false}]},{&quot;citationID&quot;:&quot;MENDELEY_CITATION_24c9779b-2152-4615-94ac-aaaf0588eb2c&quot;,&quot;properties&quot;:{&quot;noteIndex&quot;:0},&quot;isEdited&quot;:false,&quot;manualOverride&quot;:{&quot;isManuallyOverridden&quot;:false,&quot;citeprocText&quot;:&quot;[22]&quot;,&quot;manualOverrideText&quot;:&quot;&quot;},&quot;citationTag&quot;:&quot;MENDELEY_CITATION_v3_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&quot;,&quot;citationItems&quot;:[{&quot;id&quot;:&quot;bcbcc3e5-526f-334d-9460-421cb7fc2c6d&quot;,&quot;itemData&quot;:{&quot;type&quot;:&quot;article-journal&quot;,&quot;id&quot;:&quot;bcbcc3e5-526f-334d-9460-421cb7fc2c6d&quot;,&quot;title&quot;:&quot;Environmental outcomes of the US Renewable Fuel Standard&quot;,&quot;author&quot;:[{&quot;family&quot;:&quot;Lark&quot;,&quot;given&quot;:&quot;Tyler J.&quot;,&quot;parse-names&quot;:false,&quot;dropping-particle&quot;:&quot;&quot;,&quot;non-dropping-particle&quot;:&quot;&quot;},{&quot;family&quot;:&quot;Hendricks&quot;,&quot;given&quot;:&quot;Nathan P.&quot;,&quot;parse-names&quot;:false,&quot;dropping-particle&quot;:&quot;&quot;,&quot;non-dropping-particle&quot;:&quot;&quot;},{&quot;family&quot;:&quot;Smith&quot;,&quot;given&quot;:&quot;Aaron&quot;,&quot;parse-names&quot;:false,&quot;dropping-particle&quot;:&quot;&quot;,&quot;non-dropping-particle&quot;:&quot;&quot;},{&quot;family&quot;:&quot;Pates&quot;,&quot;given&quot;:&quot;Nicholas&quot;,&quot;parse-names&quot;:false,&quot;dropping-particle&quot;:&quot;&quot;,&quot;non-dropping-particle&quot;:&quot;&quot;},{&quot;family&quot;:&quot;Spawn-Lee&quot;,&quot;given&quot;:&quot;Seth A.&quot;,&quot;parse-names&quot;:false,&quot;dropping-particle&quot;:&quot;&quot;,&quot;non-dropping-particle&quot;:&quot;&quot;},{&quot;family&quot;:&quot;Bougie&quot;,&quot;given&quot;:&quot;Matthew&quot;,&quot;parse-names&quot;:false,&quot;dropping-particle&quot;:&quot;&quot;,&quot;non-dropping-particle&quot;:&quot;&quot;},{&quot;family&quot;:&quot;Booth&quot;,&quot;given&quot;:&quot;Eric G.&quot;,&quot;parse-names&quot;:false,&quot;dropping-particle&quot;:&quot;&quot;,&quot;non-dropping-particle&quot;:&quot;&quot;},{&quot;family&quot;:&quot;Kucharik&quot;,&quot;given&quot;:&quot;Christopher J.&quot;,&quot;parse-names&quot;:false,&quot;dropping-particle&quot;:&quot;&quot;,&quot;non-dropping-particle&quot;:&quot;&quot;},{&quot;family&quot;:&quot;Gibbs&quot;,&quot;given&quot;:&quot;Holly K.&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2,3]]},&quot;DOI&quot;:&quot;10.1073/pnas.2101084119&quot;,&quot;ISSN&quot;:&quot;10916490&quot;,&quot;PMID&quot;:&quot;35165202&quot;,&quot;issued&quot;:{&quot;date-parts&quot;:[[2022,3,1]]},&quot;abstract&quot;:&quot;The Renewable Fuel Standard (RFS) specifies the use of biofuels in the United States and thereby guides nearly half of all global biofuel production, yet outcomes of this keystone climate and environmental regulation remain unclear. Here we combine econometric analyses, land use observations, and biophysical models to estimate the realized effects of the RFS in aggregate and down to the scale of individual agricultural fields across the United States. We find that the RFS increased corn prices by 30% and the prices of other crops by 20%, which, in turn, expanded US corn cultivation by 2.8 Mha (8.7%) and total cropland by 2.1 Mha (2.4%) in the years following policy enactment (2008 to 2016). These changes increased annual nationwide fertilizer use by 3 to 8%, increased water quality degradants by 3 to 5%, and caused enough domestic land use change emissions such that the carbon intensity of corn ethanol produced under the RFS is no less than gasoline and likely at least 24% higher. These tradeoffs must be weighed alongside the benefits of biofuels as decision-makers consider the future of renewable energy policies and the potential for fuels like corn ethanol to meet climate mitigation goals.&quot;,&quot;publisher&quot;:&quot;National Academy of Sciences&quot;,&quot;issue&quot;:&quot;9&quot;,&quot;volume&quot;:&quot;119&quot;},&quot;isTemporary&quot;:false,&quot;suppress-author&quot;:false,&quot;composite&quot;:false,&quot;author-only&quot;:false}]},{&quot;citationID&quot;:&quot;MENDELEY_CITATION_aa45df2e-304b-4e21-a336-51b46219a412&quot;,&quot;properties&quot;:{&quot;noteIndex&quot;:0},&quot;isEdited&quot;:false,&quot;manualOverride&quot;:{&quot;isManuallyOverridden&quot;:false,&quot;citeprocText&quot;:&quot;[23]&quot;,&quot;manualOverrideText&quot;:&quot;&quot;},&quot;citationTag&quot;:&quot;MENDELEY_CITATION_v3_eyJjaXRhdGlvbklEIjoiTUVOREVMRVlfQ0lUQVRJT05fYWE0NWRmMmUtMzA0Yi00ZTIxLWEzMzYtNTFiNDYyMTlhNDEy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quot;,&quot;citationItems&quot;:[{&quot;id&quot;:&quot;6e59b6cb-3797-3ec6-925b-f36fe7305d19&quot;,&quot;itemData&quot;:{&quot;type&quot;:&quot;article-journal&quot;,&quot;id&quot;:&quot;6e59b6cb-3797-3ec6-925b-f36fe7305d19&quot;,&quot;title&quot;:&quot;Process Design and Economics for the Conversion of Lignocellulosic Biomass to Hydrocarbon Fuels and Coproducts: 2018 Biochemical Design Case Update: Biochemical Deconstruction and Conversion of Biomass to Fuels and Products via Integrated Biorefinery Pat…&quot;,&quot;author&quot;:[{&quot;family&quot;:&quot;Davis&quot;,&quot;given&quot;:&quot;Ryan&quot;,&quot;parse-names&quot;:false,&quot;dropping-particle&quot;:&quot;&quot;,&quot;non-dropping-particle&quot;:&quot;&quot;},{&quot;family&quot;:&quot;Grundl&quot;,&quot;given&quot;:&quot;Nicholas&quot;,&quot;parse-names&quot;:false,&quot;dropping-particle&quot;:&quot;&quot;,&quot;non-dropping-particle&quot;:&quot;&quot;},{&quot;family&quot;:&quot;Tao&quot;,&quot;given&quot;:&quot;Ling&quot;,&quot;parse-names&quot;:false,&quot;dropping-particle&quot;:&quot;&quot;,&quot;non-dropping-particle&quot;:&quot;&quot;},{&quot;family&quot;:&quot;Biddy&quot;,&quot;given&quot;:&quot;Mary J&quot;,&quot;parse-names&quot;:false,&quot;dropping-particle&quot;:&quot;&quot;,&quot;non-dropping-particle&quot;:&quot;&quot;},{&quot;family&quot;:&quot;Tan&quot;,&quot;given&quot;:&quot;Eric C D&quot;,&quot;parse-names&quot;:false,&quot;dropping-particle&quot;:&quot;&quot;,&quot;non-dropping-particle&quot;:&quot;&quot;},{&quot;family&quot;:&quot;Beckham&quot;,&quot;given&quot;:&quot;Gregg T&quot;,&quot;parse-names&quot;:false,&quot;dropping-particle&quot;:&quot;&quot;,&quot;non-dropping-particle&quot;:&quot;&quot;},{&quot;family&quot;:&quot;Humbird&quot;,&quot;given&quot;:&quot;David&quot;,&quot;parse-names&quot;:false,&quot;dropping-particle&quot;:&quot;&quot;,&quot;non-dropping-particle&quot;:&quot;&quot;},{&quot;family&quot;:&quot;Thompson&quot;,&quot;given&quot;:&quot;David N&quot;,&quot;parse-names&quot;:false,&quot;dropping-particle&quot;:&quot;&quot;,&quot;non-dropping-particle&quot;:&quot;&quot;},{&quot;family&quot;:&quot;Roni&quot;,&quot;given&quot;:&quot;Mohammad S&quot;,&quot;parse-names&quot;:false,&quot;dropping-particle&quot;:&quot;&quot;,&quot;non-dropping-particle&quot;:&quot;&quot;}],&quot;accessed&quot;:{&quot;date-parts&quot;:[[2026,2,3]]},&quot;URL&quot;:&quot;www.nrel.gov/publications.&quot;,&quot;issued&quot;:{&quot;date-parts&quot;:[[2018]]},&quot;container-title-short&quot;:&quot;&quot;},&quot;isTemporary&quot;:false,&quot;suppress-author&quot;:false,&quot;composite&quot;:false,&quot;author-only&quot;:false}]},{&quot;citationID&quot;:&quot;MENDELEY_CITATION_601e213f-566c-4d3f-8d99-a3b00f782b22&quot;,&quot;properties&quot;:{&quot;noteIndex&quot;:0},&quot;isEdited&quot;:false,&quot;manualOverride&quot;:{&quot;isManuallyOverridden&quot;:false,&quot;citeprocText&quot;:&quot;[24]&quot;,&quot;manualOverrideText&quot;:&quot;&quot;},&quot;citationTag&quot;:&quot;MENDELEY_CITATION_v3_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&quot;,&quot;citationItems&quot;:[{&quot;id&quot;:&quot;e4be231e-20e8-3e2d-980f-6d636e2a0785&quot;,&quot;itemData&quot;:{&quot;type&quot;:&quot;article-journal&quot;,&quot;id&quot;:&quot;e4be231e-20e8-3e2d-980f-6d636e2a0785&quot;,&quot;title&quot;:&quot;Summary of Expansions and Updates in GREET® 2021&quot;,&quot;author&quot;:[{&quot;family&quot;:&quot;Wang&quot;,&quot;given&quot;:&quot;Michael&quot;,&quot;parse-names&quot;:false,&quot;dropping-particle&quot;:&quot;&quot;,&quot;non-dropping-particle&quot;:&quot;&quot;},{&quot;family&quot;:&quot;Elgowainy&quot;,&quot;given&quot;:&quot;Amgad&quot;,&quot;parse-names&quot;:false,&quot;dropping-particle&quot;:&quot;&quot;,&quot;non-dropping-particle&quot;:&quot;&quot;},{&quot;family&quot;:&quot;Lee&quot;,&quot;given&quot;:&quot;Uisung&quot;,&quot;parse-names&quot;:false,&quot;dropping-particle&quot;:&quot;&quot;,&quot;non-dropping-particle&quot;:&quot;&quot;},{&quot;family&quot;:&quot;Bafana&quot;,&quot;given&quot;:&quot;Adarsh&quot;,&quot;parse-names&quot;:false,&quot;dropping-particle&quot;:&quot;&quot;,&quot;non-dropping-particle&quot;:&quot;&quot;},{&quot;family&quot;:&quot;Banerjee&quot;,&quot;given&quot;:&quot;Sudhanya&quot;,&quot;parse-names&quot;:false,&quot;dropping-particle&quot;:&quot;&quot;,&quot;non-dropping-particle&quot;:&quot;&quot;},{&quot;family&quot;:&quot;Benavides&quot;,&quot;given&quot;:&quot;Pahola Thathiana&quot;,&quot;parse-names&quot;:false,&quot;dropping-particle&quot;:&quot;&quot;,&quot;non-dropping-particle&quot;:&quot;&quot;},{&quot;family&quot;:&quot;Bobba&quot;,&quot;given&quot;:&quot;Pallavi&quot;,&quot;parse-names&quot;:false,&quot;dropping-particle&quot;:&quot;&quot;,&quot;non-dropping-particle&quot;:&quot;&quot;},{&quot;family&quot;:&quot;Burnham&quot;,&quot;given&quot;:&quot;Andrew&quot;,&quot;parse-names&quot;:false,&quot;dropping-particle&quot;:&quot;&quot;,&quot;non-dropping-particle&quot;:&quot;&quot;},{&quot;family&quot;:&quot;Cai&quot;,&quot;given&quot;:&quot;Hao&quot;,&quot;parse-names&quot;:false,&quot;dropping-particle&quot;:&quot;&quot;,&quot;non-dropping-particle&quot;:&quot;&quot;},{&quot;family&quot;:&quot;Gracida-Alvarez&quot;,&quot;given&quot;:&quot;Ulises R&quot;,&quot;parse-names&quot;:false,&quot;dropping-particle&quot;:&quot;&quot;,&quot;non-dropping-particle&quot;:&quot;&quot;},{&quot;family&quot;:&quot;Hawkins&quot;,&quot;given&quot;:&quot;Troy R.&quot;,&quot;parse-names&quot;:false,&quot;dropping-particle&quot;:&quot;&quot;,&quot;non-dropping-particle&quot;:&quot;&quot;},{&quot;family&quot;:&quot;Iyer&quot;,&quot;given&quot;:&quot;Rakesh Krishnamoorthy&quot;,&quot;parse-names&quot;:false,&quot;dropping-particle&quot;:&quot;&quot;,&quot;non-dropping-particle&quot;:&quot;&quot;},{&quot;family&quot;:&quot;Kelly&quot;,&quot;given&quot;:&quot;Jarod C.&quot;,&quot;parse-names&quot;:false,&quot;dropping-particle&quot;:&quot;&quot;,&quot;non-dropping-particle&quot;:&quot;&quot;},{&quot;family&quot;:&quot;Kim&quot;,&quot;given&quot;:&quot;Taemin&quot;,&quot;parse-names&quot;:false,&quot;dropping-particle&quot;:&quot;&quot;,&quot;non-dropping-particle&quot;:&quot;&quot;},{&quot;family&quot;:&quot;Kingsbury&quot;,&quot;given&quot;:&quot;Kathryn&quot;,&quot;parse-names&quot;:false,&quot;dropping-particle&quot;:&quot;&quot;,&quot;non-dropping-particle&quot;:&quot;&quot;},{&quot;family&quot;:&quot;Kwon&quot;,&quot;given&quot;:&quot;Hoyoung&quot;,&quot;parse-names&quot;:false,&quot;dropping-particle&quot;:&quot;&quot;,&quot;non-dropping-particle&quot;:&quot;&quot;},{&quot;family&quot;:&quot;Li&quot;,&quot;given&quot;:&quot;Yuan&quot;,&quot;parse-names&quot;:false,&quot;dropping-particle&quot;:&quot;&quot;,&quot;non-dropping-particle&quot;:&quot;&quot;},{&quot;family&quot;:&quot;Liu&quot;,&quot;given&quot;:&quot;Xinyu&quot;,&quot;parse-names&quot;:false,&quot;dropping-particle&quot;:&quot;&quot;,&quot;non-dropping-particle&quot;:&quot;&quot;},{&quot;family&quot;:&quot;Lu&quot;,&quot;given&quot;:&quot;Zifeng&quot;,&quot;parse-names&quot;:false,&quot;dropping-particle&quot;:&quot;&quot;,&quot;non-dropping-particle&quot;:&quot;&quot;},{&quot;family&quot;:&quot;Ou&quot;,&quot;given&quot;:&quot;Longwen&quot;,&quot;parse-names&quot;:false,&quot;dropping-particle&quot;:&quot;&quot;,&quot;non-dropping-particle&quot;:&quot;&quot;},{&quot;family&quot;:&quot;Siddique&quot;,&quot;given&quot;:&quot;Nazib&quot;,&quot;parse-names&quot;:false,&quot;dropping-particle&quot;:&quot;&quot;,&quot;non-dropping-particle&quot;:&quot;&quot;},{&quot;family&quot;:&quot;Sun&quot;,&quot;given&quot;:&quot;Pingping&quot;,&quot;parse-names&quot;:false,&quot;dropping-particle&quot;:&quot;&quot;,&quot;non-dropping-particle&quot;:&quot;&quot;},{&quot;family&quot;:&quot;Vyawahare&quot;,&quot;given&quot;:&quot;Pradeep&quot;,&quot;parse-names&quot;:false,&quot;dropping-particle&quot;:&quot;&quot;,&quot;non-dropping-particle&quot;:&quot;&quot;},{&quot;family&quot;:&quot;Winjobi&quot;,&quot;given&quot;:&quot;Olumide&quot;,&quot;parse-names&quot;:false,&quot;dropping-particle&quot;:&quot;&quot;,&quot;non-dropping-particle&quot;:&quot;&quot;},{&quot;family&quot;:&quot;Wu&quot;,&quot;given&quot;:&quot;May&quot;,&quot;parse-names&quot;:false,&quot;dropping-particle&quot;:&quot;&quot;,&quot;non-dropping-particle&quot;:&quot;&quot;},{&quot;family&quot;:&quot;Xu&quot;,&quot;given&quot;:&quot;Hui&quot;,&quot;parse-names&quot;:false,&quot;dropping-particle&quot;:&quot;&quot;,&quot;non-dropping-particle&quot;:&quot;&quot;},{&quot;family&quot;:&quot;Yoo&quot;,&quot;given&quot;:&quot;Eunji&quot;,&quot;parse-names&quot;:false,&quot;dropping-particle&quot;:&quot;&quot;,&quot;non-dropping-particle&quot;:&quot;&quot;},{&quot;family&quot;:&quot;Zaimes&quot;,&quot;given&quot;:&quot;George G.&quot;,&quot;parse-names&quot;:false,&quot;dropping-particle&quot;:&quot;&quot;,&quot;non-dropping-particle&quot;:&quot;&quot;},{&quot;family&quot;:&quot;Zang&quot;,&quot;given&quot;:&quot;Guiyan&quot;,&quot;parse-names&quot;:false,&quot;dropping-particle&quot;:&quot;&quot;,&quot;non-dropping-particle&quot;:&quot;&quot;}],&quot;accessed&quot;:{&quot;date-parts&quot;:[[2026,2,3]]},&quot;DOI&quot;:&quot;10.2172/1824336&quot;,&quot;URL&quot;:&quot;https://www.osti.gov/servlets/purl/1824336/&quot;,&quot;issued&quot;:{&quot;date-parts&quot;:[[2021,10,1]]},&quot;publisher-place&quot;:&quot;Argonne, IL (United States)&quot;,&quot;abstract&quot;:&quot;The GREET® (Greenhouse gases, Regulated Emissions, and Energy use in Technologies) model has been developed by Argonne National Laboratory (Argonne) with the support of the U.S. Department of Energy (DOE). GREET is a life-cycle analysis (LCA) tool, structured to systematically examine the energy and environmental effects of a wide variety of transportation fuels and vehicle technologies in major transportation sectors (i.e., road, air, marine, and rail) and other end-use sectors, and energy systems. Within the transportation sector, GREET covers road, air, water, and rail transportation sub-sectors. Recently, GREET was expanded to cover the building sector. Historically, GREET includes LCA of various materials such as steel, aluminum, cement, and different plastic types. Argonne has expanded and updated the model in various sectors in GREET 2021, and this report provides a summary of the release.&quot;,&quot;container-title-short&quot;:&quot;&quot;},&quot;isTemporary&quot;:false,&quot;suppress-author&quot;:false,&quot;composite&quot;:false,&quot;author-only&quot;:false}]},{&quot;citationID&quot;:&quot;MENDELEY_CITATION_faa45237-6f68-4ed4-ac47-47fbf3bfdd05&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ZmFhNDUyMzctNmY2OC00ZWQ0LWFjNDctNDdmYmYzYmZkZDA1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f592a306-07f0-4aa7-a247-377d17f71f67&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ZjU5MmEzMDYtMDdmMC00YWE3LWEyNDctMzc3ZDE3ZjcxZjY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b64dc93c-f33f-49c3-89cb-e61623834ccc&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YjY0ZGM5M2MtZjMzZi00OWMzLTg5Y2ItZTYxNjIzODM0Y2N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18ee9a55-97be-4357-abd4-9258a656c247&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ThlZTlhNTUtOTdiZS00MzU3LWFiZDQtOTI1OGE2NTZjMjQ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00a231dd-427f-4f00-90ec-5153dde7066a&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DBhMjMxZGQtNDI3Zi00ZjAwLTkwZWMtNTE1M2RkZTcwNjZh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9a48f529-21f0-4823-85bb-348b626bc3c7&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OWE0OGY1MjktMjFmMC00ODIzLTg1YmItMzQ4YjYyNmJjM2M3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31f3e1b4-10ab-4e60-bd92-73daee0fbbf6&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zFmM2UxYjQtMTBhYi00ZTYwLWJkOTItNzNkYWVlMGZiYmY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12fce82c-1655-41e2-a27c-5ef609605d86&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TJmY2U4MmMtMTY1NS00MWUyLWEyN2MtNWVmNjA5NjA1ZDg2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f5b661c9-8b00-41af-b312-011a7bffcee2&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ZjViNjYxYzktOGIwMC00MWFmLWIzMTItMDExYTdiZmZjZWUy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b296a0d9-a485-4d75-b4e8-17ed25bd80cb&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YjI5NmEwZDktYTQ4NS00ZDc1LWI0ZTgtMTdlZDI1YmQ4MGN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a1c77f87-0197-4a71-b9f0-1d09c9dbc15b&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YTFjNzdmODctMDE5Ny00YTcxLWI5ZjAtMWQwOWM5ZGJjMTVi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72895e84-93c6-45fb-b205-d63f68efd468&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NzI4OTVlODQtOTNjNi00NWZiLWIyMDUtZDYzZjY4ZWZkNDY4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162c7198-fd03-48f7-9978-426b2d49154c&quot;,&quot;properties&quot;:{&quot;noteIndex&quot;:0},&quot;isEdited&quot;:false,&quot;manualOverride&quot;:{&quot;isManuallyOverridden&quot;:false,&quot;citeprocText&quot;:&quot;[25]&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citationTag&quot;:&quot;MENDELEY_CITATION_v3_eyJjaXRhdGlvbklEIjoiTUVOREVMRVlfQ0lUQVRJT05fMTYyYzcxOTgtZmQwMy00OGY3LTk5NzgtNDI2YjJkNDkxNTRjIiwicHJvcGVydGllcyI6eyJub3RlSW5kZXgiOjB9LCJpc0VkaXRlZCI6ZmFsc2UsIm1hbnVhbE92ZXJyaWRlIjp7ImlzTWFudWFsbHlPdmVycmlkZGVuIjpmYWxzZSwiY2l0ZXByb2NUZXh0IjoiWzI1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V19&quot;},{&quot;citationID&quot;:&quot;MENDELEY_CITATION_93ba00e7-6859-458d-af02-399252670c5e&quot;,&quot;properties&quot;:{&quot;noteIndex&quot;:0},&quot;isEdited&quot;:false,&quot;manualOverride&quot;:{&quot;isManuallyOverridden&quot;:false,&quot;citeprocText&quot;:&quot;[26]&quot;,&quot;manualOverrideText&quot;:&quot;&quot;},&quot;citationItems&quot;:[{&quot;id&quot;:&quot;547c6b88-5363-3942-95a7-be77af213932&quot;,&quot;itemData&quot;:{&quot;type&quot;:&quot;article-journal&quot;,&quot;id&quot;:&quot;547c6b88-5363-3942-95a7-be77af213932&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quot;,&quot;container-title-short&quot;:&quot;Biotechnol. Biofuels&quot;,&quot;accessed&quot;:{&quot;date-parts&quot;:[[2025,12,18]]},&quot;DOI&quot;:&quot;10.1186/S13068-017-0698-Z&quot;,&quot;ISSN&quot;:&quot;1754-6834&quot;,&quot;PMID&quot;:&quot;28138339&quot;,&quot;URL&quot;:&quot;https://pubmed.ncbi.nlm.nih.gov/28138339/&quot;,&quot;issued&quot;:{&quot;date-parts&quot;:[[2017,1,24]]},&quot;abstract&quot;:&quot;Background: 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 g CO2e/MJ than those estimated with an energy allocation method. Conclusion: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technol Biofuels&quot;,&quot;issue&quot;:&quot;1&quot;,&quot;volume&quot;:&quot;10&quot;},&quot;isTemporary&quot;:false,&quot;suppress-author&quot;:false,&quot;composite&quot;:false,&quot;author-only&quot;:false}],&quot;citationTag&quot;:&quot;MENDELEY_CITATION_v3_eyJjaXRhdGlvbklEIjoiTUVOREVMRVlfQ0lUQVRJT05fOTNiYTAwZTctNjg1OS00NThkLWFmMDItMzk5MjUyNjcwYzVl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quot;},{&quot;citationID&quot;:&quot;MENDELEY_CITATION_1f016bd6-ce21-4385-95c4-56ecb27fc81c&quot;,&quot;properties&quot;:{&quot;noteIndex&quot;:0},&quot;isEdited&quot;:false,&quot;manualOverride&quot;:{&quot;isManuallyOverridden&quot;:false,&quot;citeprocText&quot;:&quot;[23]&quot;,&quot;manualOverrideText&quot;:&quot;&quot;},&quot;citationTag&quot;:&quot;MENDELEY_CITATION_v3_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&quot;,&quot;citationItems&quot;:[{&quot;id&quot;:&quot;6e59b6cb-3797-3ec6-925b-f36fe7305d19&quot;,&quot;itemData&quot;:{&quot;type&quot;:&quot;article-journal&quot;,&quot;id&quot;:&quot;6e59b6cb-3797-3ec6-925b-f36fe7305d19&quot;,&quot;title&quot;:&quot;Process Design and Economics for the Conversion of Lignocellulosic Biomass to Hydrocarbon Fuels and Coproducts: 2018 Biochemical Design Case Update: Biochemical Deconstruction and Conversion of Biomass to Fuels and Products via Integrated Biorefinery Pat…&quot;,&quot;author&quot;:[{&quot;family&quot;:&quot;Davis&quot;,&quot;given&quot;:&quot;Ryan&quot;,&quot;parse-names&quot;:false,&quot;dropping-particle&quot;:&quot;&quot;,&quot;non-dropping-particle&quot;:&quot;&quot;},{&quot;family&quot;:&quot;Grundl&quot;,&quot;given&quot;:&quot;Nicholas&quot;,&quot;parse-names&quot;:false,&quot;dropping-particle&quot;:&quot;&quot;,&quot;non-dropping-particle&quot;:&quot;&quot;},{&quot;family&quot;:&quot;Tao&quot;,&quot;given&quot;:&quot;Ling&quot;,&quot;parse-names&quot;:false,&quot;dropping-particle&quot;:&quot;&quot;,&quot;non-dropping-particle&quot;:&quot;&quot;},{&quot;family&quot;:&quot;Biddy&quot;,&quot;given&quot;:&quot;Mary J&quot;,&quot;parse-names&quot;:false,&quot;dropping-particle&quot;:&quot;&quot;,&quot;non-dropping-particle&quot;:&quot;&quot;},{&quot;family&quot;:&quot;Tan&quot;,&quot;given&quot;:&quot;Eric C D&quot;,&quot;parse-names&quot;:false,&quot;dropping-particle&quot;:&quot;&quot;,&quot;non-dropping-particle&quot;:&quot;&quot;},{&quot;family&quot;:&quot;Beckham&quot;,&quot;given&quot;:&quot;Gregg T&quot;,&quot;parse-names&quot;:false,&quot;dropping-particle&quot;:&quot;&quot;,&quot;non-dropping-particle&quot;:&quot;&quot;},{&quot;family&quot;:&quot;Humbird&quot;,&quot;given&quot;:&quot;David&quot;,&quot;parse-names&quot;:false,&quot;dropping-particle&quot;:&quot;&quot;,&quot;non-dropping-particle&quot;:&quot;&quot;},{&quot;family&quot;:&quot;Thompson&quot;,&quot;given&quot;:&quot;David N&quot;,&quot;parse-names&quot;:false,&quot;dropping-particle&quot;:&quot;&quot;,&quot;non-dropping-particle&quot;:&quot;&quot;},{&quot;family&quot;:&quot;Roni&quot;,&quot;given&quot;:&quot;Mohammad S&quot;,&quot;parse-names&quot;:false,&quot;dropping-particle&quot;:&quot;&quot;,&quot;non-dropping-particle&quot;:&quot;&quot;}],&quot;accessed&quot;:{&quot;date-parts&quot;:[[2026,2,3]]},&quot;URL&quot;:&quot;www.nrel.gov/publications.&quot;,&quot;issued&quot;:{&quot;date-parts&quot;:[[2018]]},&quot;container-title-short&quot;:&quot;&quot;},&quot;isTemporary&quot;:false,&quot;suppress-author&quot;:false,&quot;composite&quot;:false,&quot;author-only&quot;:false}]},{&quot;citationID&quot;:&quot;MENDELEY_CITATION_9e2534bf-a6e6-41e4-896f-df6e567bea14&quot;,&quot;properties&quot;:{&quot;noteIndex&quot;:0},&quot;isEdited&quot;:false,&quot;manualOverride&quot;:{&quot;isManuallyOverridden&quot;:false,&quot;citeprocText&quot;:&quot;[25,26]&quot;,&quot;manualOverrideText&quot;:&quot;&quot;},&quot;citationItems&quot;:[{&quot;id&quot;:&quot;2c155216-d7bd-3c6e-bf0c-7accd4dad0cd&quot;,&quot;itemData&quot;:{&quot;type&quot;:&quot;article-journal&quot;,&quot;id&quot;:&quot;2c155216-d7bd-3c6e-bf0c-7accd4dad0cd&quot;,&quot;title&quot;:&quot;Techno-Economic Analysis for Upgrading the Biomass-Derived Ethanol-to-Jet Blendstocks&quot;,&quot;author&quot;:[{&quot;family&quot;:&quot;Tao&quot;,&quot;given&quot;:&quot;Ling&quot;,&quot;parse-names&quot;:false,&quot;dropping-particle&quot;:&quot;&quot;,&quot;non-dropping-particle&quot;:&quot;&quot;},{&quot;family&quot;:&quot;Markham&quot;,&quot;given&quot;:&quot;Jennifer N.&quot;,&quot;parse-names&quot;:false,&quot;dropping-particle&quot;:&quot;&quot;,&quot;non-dropping-particle&quot;:&quot;&quot;},{&quot;family&quot;:&quot;Haq&quot;,&quot;given&quot;:&quot;Zia&quot;,&quot;parse-names&quot;:false,&quot;dropping-particle&quot;:&quot;&quot;,&quot;non-dropping-particle&quot;:&quot;&quot;},{&quot;family&quot;:&quot;Biddy&quot;,&quot;given&quot;:&quot;Mary J.&quot;,&quot;parse-names&quot;:false,&quot;dropping-particle&quot;:&quot;&quot;,&quot;non-dropping-particle&quot;:&quot;&quot;}],&quot;container-title&quot;:&quot;Green Chemistry&quot;,&quot;accessed&quot;:{&quot;date-parts&quot;:[[2025,12,18]]},&quot;DOI&quot;:&quot;10.1039/C6GC02800D&quot;,&quot;ISSN&quot;:&quot;1463-9262&quot;,&quot;URL&quot;:&quot;https://research-hub.nrel.gov/en/publications/techno-economic-analysis-for-upgrading-the-biomass-derived-ethano-2/&quot;,&quot;issued&quot;:{&quot;date-parts&quot;:[[2017]]},&quot;page&quot;:&quot;1082-1101&quot;,&quot;abstract&quot;:&quot;This study summarizes the detailed techno-economic analysis of the ethanol-to-jet (ETJ) process based on two different feedstocks (corn grain and corn stover) at the plant scale of 2000 dry metric tons per day. Ethanol biologically derived from biomass is upgraded catalytically to jet blendstocks via alcohol dehydration, olefin oligomerization, and hydrotreating. In both pathways, corn-grain-derived ethanol to jet (corn mill ETJ) and corn-stover-derived ethanol to jet (corn stover ETJ), there are portions of gasoline and diesel produced as coproducts. Two cost bases are used in this study: the minimum jet fuel selling prices (MJSP) for jet-range blendstocks and the minimum fuel selling prices (MFSP) for all the hydrocarbons (gasoline, jet, and diesel) produced using a gallon gasoline equivalent (GGE) basis. The nth-plant MJSPs for the two pathways are estimated to be $4.20 per gal for corn mill and $6.14 per gal for corn stover, while MFSPs are $3.91 per GGE for corn mill and $5.37 per GGE for corn stover. If all of the hydrocarbon products (gasoline, jet, and diesel ranges) can be considered as fuel blendstocks using a GGE basis, the total hydrocarbon yield for fuel blendstock is 49.6 GGE per dry ton biomass for corn stover and 71.0 GGE per dry ton biomass for corn grain. The outcome of this study shows that the renewable jet fuel could be cost competitive with fossil derived jet fuel if further improvements could be made to increase process yields (particularly yields of sugars, sugar to ethanol, and ethanol to hydrocarbons), research and development of sustainable feedstocks, and more effective catalytic reaction kinetics. Pioneer plant analysis, which considers the increased capital investment and the decreased plant performance over the nth-plant analysis, is also performed, showing a potential 31%-178% increase in cost compared to the nth-plant assumptions for the dry mill pathway, but with a much wider range of 69%-471% cost increase over the nth-plant assumptions for the corn stover pathway. While there are large differences between the estimated first of a kind plant cost and the targeted nth-plant case, reduction of costs is possible through improvement of the overall process efficiency, yields, reduction in overall capital, co-product revenues and strategically improve performance by process learnings.&quot;,&quot;publisher&quot;:&quot;Royal Society of Chemistry&quot;,&quot;issue&quot;:&quot;4&quot;,&quot;volume&quot;:&quot;19&quot;,&quot;container-title-short&quot;:&quot;&quot;},&quot;isTemporary&quot;:false,&quot;suppress-author&quot;:false,&quot;composite&quot;:false,&quot;author-only&quot;:false},{&quot;id&quot;:&quot;547c6b88-5363-3942-95a7-be77af213932&quot;,&quot;itemData&quot;:{&quot;type&quot;:&quot;article-journal&quot;,&quot;id&quot;:&quot;547c6b88-5363-3942-95a7-be77af213932&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quot;,&quot;container-title-short&quot;:&quot;Biotechnol. Biofuels&quot;,&quot;accessed&quot;:{&quot;date-parts&quot;:[[2025,12,18]]},&quot;DOI&quot;:&quot;10.1186/S13068-017-0698-Z&quot;,&quot;ISSN&quot;:&quot;1754-6834&quot;,&quot;PMID&quot;:&quot;28138339&quot;,&quot;URL&quot;:&quot;https://pubmed.ncbi.nlm.nih.gov/28138339/&quot;,&quot;issued&quot;:{&quot;date-parts&quot;:[[2017,1,24]]},&quot;abstract&quot;:&quot;Background: 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 g CO2e/MJ than those estimated with an energy allocation method. Conclusion: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technol Biofuels&quot;,&quot;issue&quot;:&quot;1&quot;,&quot;volume&quot;:&quot;10&quot;},&quot;isTemporary&quot;:false,&quot;suppress-author&quot;:false,&quot;composite&quot;:false,&quot;author-only&quot;:false}],&quot;citationTag&quot;:&quot;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&quot;},{&quot;citationID&quot;:&quot;MENDELEY_CITATION_007244a0-d585-4218-8f58-5eb72b96d58a&quot;,&quot;properties&quot;:{&quot;noteIndex&quot;:0},&quot;isEdited&quot;:false,&quot;manualOverride&quot;:{&quot;isManuallyOverridden&quot;:false,&quot;citeprocText&quot;:&quot;[26]&quot;,&quot;manualOverrideText&quot;:&quot;&quot;},&quot;citationItems&quot;:[{&quot;id&quot;:&quot;547c6b88-5363-3942-95a7-be77af213932&quot;,&quot;itemData&quot;:{&quot;type&quot;:&quot;article-journal&quot;,&quot;id&quot;:&quot;547c6b88-5363-3942-95a7-be77af213932&quot;,&quot;title&quot;:&quot;Well-to-wake analysis of ethanol-to-jet and sugar-to-jet pathways&quot;,&quot;author&quot;:[{&quot;family&quot;:&quot;Han&quot;,&quot;given&quot;:&quot;Jeongwoo&quot;,&quot;parse-names&quot;:false,&quot;dropping-particle&quot;:&quot;&quot;,&quot;non-dropping-particle&quot;:&quot;&quot;},{&quot;family&quot;:&quot;Tao&quot;,&quot;given&quot;:&quot;Ling&quot;,&quot;parse-names&quot;:false,&quot;dropping-particle&quot;:&quot;&quot;,&quot;non-dropping-particle&quot;:&quot;&quot;},{&quot;family&quot;:&quot;Wang&quot;,&quot;given&quot;:&quot;Michael&quot;,&quot;parse-names&quot;:false,&quot;dropping-particle&quot;:&quot;&quot;,&quot;non-dropping-particle&quot;:&quot;&quot;}],&quot;container-title&quot;:&quot;Biotechnology for biofuels&quot;,&quot;container-title-short&quot;:&quot;Biotechnol. Biofuels&quot;,&quot;accessed&quot;:{&quot;date-parts&quot;:[[2025,12,18]]},&quot;DOI&quot;:&quot;10.1186/S13068-017-0698-Z&quot;,&quot;ISSN&quot;:&quot;1754-6834&quot;,&quot;PMID&quot;:&quot;28138339&quot;,&quot;URL&quot;:&quot;https://pubmed.ncbi.nlm.nih.gov/28138339/&quot;,&quot;issued&quot;:{&quot;date-parts&quot;:[[2017,1,24]]},&quot;abstract&quot;:&quot;Background: To reduce the environmental impacts of the aviation sector as air traffic grows steadily, the aviation industry has paid increasing attention to bio-based alternative jet fuels (AJFs), which may provide lower life-cycle petroleum consumption and greenhouse gas (GHG) emissions than petroleum jet fuel. This study presents well-to-wake (WTWa) results for four emerging AJFs: ethanol-to-jet (ETJ) from corn and corn stover, and sugar-to-jet (STJ) from corn stover via both biological and catalytic conversion. For the ETJ pathways, two plant designs were examined: integrated (processing corn or corn stover as feedstock) and distributed (processing ethanol as feedstock). Also, three H2 options for STJ via catalytic conversion are investigated: external H2 from natural gas (NG) steam methane reforming (SMR), in situ H2, and H2 from biomass gasification. Results: Results demonstrate that the feedstock is a key factor in the WTWa GHG emissions of ETJ: corn- and corn stover-based ETJ are estimated to produce WTWa GHG emissions that are 16 and 73%, respectively, less than those of petroleum jet. As for the STJ pathways, this study shows that STJ via biological conversion could generate WTWa GHG emissions 59% below those of petroleum jet. STJ via catalytic conversion could reduce the WTWa GHG emissions by 28% with H2 from NG SMR or 71% with H2 from biomass gasification than those of petroleum jet. This study also examines the impacts of co-product handling methods, and shows that the WTWa GHG emissions of corn stover-based ETJ, when estimated with a displacement method, are lower by 11 g CO2e/MJ than those estimated with an energy allocation method. Conclusion: Corn- and corn stover-based ETJ as well as corn stover-based STJ show potentials to reduce WTWa GHG emissions compared to petroleum jet. Particularly, WTWa GHG emissions of STJ via catalytic conversion depend highly on the hydrogen source. On the other hand, ETJ offers unique opportunities to exploit extensive existing corn ethanol plants and infrastructure, and to provide a boost to staggering ethanol demand, which is largely being used as gasoline blendstock.&quot;,&quot;publisher&quot;:&quot;Biotechnol Biofuels&quot;,&quot;issue&quot;:&quot;1&quot;,&quot;volume&quot;:&quot;10&quot;},&quot;isTemporary&quot;:false,&quot;suppress-author&quot;:false,&quot;composite&quot;:false,&quot;author-only&quot;:false}],&quot;citationTag&quot;:&quot;MENDELEY_CITATION_v3_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&quot;},{&quot;citationID&quot;:&quot;MENDELEY_CITATION_caea08e8-5173-44b0-b6f3-7ffe85180732&quot;,&quot;properties&quot;:{&quot;noteIndex&quot;:0},&quot;isEdited&quot;:false,&quot;manualOverride&quot;:{&quot;isManuallyOverridden&quot;:false,&quot;citeprocText&quot;:&quot;[27]&quot;,&quot;manualOverrideText&quot;:&quot;&quot;},&quot;citationTag&quot;:&quot;MENDELEY_CITATION_v3_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&quot;,&quot;citationItems&quot;:[{&quot;id&quot;:&quot;b123490f-7f69-35df-ae0c-a9759cebc982&quot;,&quot;itemData&quot;:{&quot;type&quot;:&quot;article-journal&quot;,&quot;id&quot;:&quot;b123490f-7f69-35df-ae0c-a9759cebc982&quot;,&quot;title&quot;:&quot;2 CORSIA Handbook&quot;,&quot;accessed&quot;:{&quot;date-parts&quot;:[[2026,2,6]]},&quot;container-title-short&quot;:&quot;&quot;},&quot;isTemporary&quot;:false,&quot;suppress-author&quot;:false,&quot;composite&quot;:false,&quot;author-onl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96B08-8571-42BB-A68D-EE74E0DCB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6252</Words>
  <Characters>40143</Characters>
  <Application>Microsoft Office Word</Application>
  <DocSecurity>0</DocSecurity>
  <Lines>669</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Amponsah, Joseph</dc:creator>
  <cp:keywords/>
  <dc:description/>
  <cp:lastModifiedBy>Amponsah, Joseph</cp:lastModifiedBy>
  <cp:revision>3</cp:revision>
  <dcterms:created xsi:type="dcterms:W3CDTF">2026-02-07T21:31:00Z</dcterms:created>
  <dcterms:modified xsi:type="dcterms:W3CDTF">2026-02-07T21:49:00Z</dcterms:modified>
</cp:coreProperties>
</file>