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F73B9"/>
          <w:sz w:val="36"/>
        </w:rPr>
        <w:t>鸿蒙应用研究能力固化</w:t>
      </w:r>
    </w:p>
    <w:p>
      <w:pPr>
        <w:jc w:val="center"/>
      </w:pPr>
      <w:r>
        <w:rPr>
          <w:rFonts w:ascii="Microsoft YaHei" w:hAnsi="Microsoft YaHei" w:eastAsia="Microsoft YaHei"/>
          <w:b/>
          <w:color w:val="123B5D"/>
          <w:sz w:val="58"/>
        </w:rPr>
        <w:t>工作流程与方法论</w:t>
      </w:r>
    </w:p>
    <w:p>
      <w:pPr>
        <w:jc w:val="center"/>
      </w:pPr>
      <w:r>
        <w:rPr>
          <w:rFonts w:ascii="Microsoft YaHei" w:hAnsi="Microsoft YaHei" w:eastAsia="Microsoft YaHei"/>
          <w:color w:val="667785"/>
          <w:sz w:val="26"/>
        </w:rPr>
        <w:t>从分散调研到可复用、可追溯的 7-Skill 工作链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F1E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8A5313"/>
                <w:sz w:val="19"/>
              </w:rPr>
              <w:t>公开演示 · 只展示流程、方法和能力设计 · 不含真实业务数据</w:t>
            </w:r>
          </w:p>
        </w:tc>
      </w:tr>
    </w:tbl>
    <w:p>
      <w:pPr>
        <w:spacing w:after="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F3F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  <w:sz w:val="20"/>
              </w:rPr>
              <w:t>说明主题</w:t>
            </w:r>
          </w:p>
        </w:tc>
        <w:tc>
          <w:tcPr>
            <w:tcW w:type="dxa" w:w="5043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color w:val="243746"/>
                <w:sz w:val="20"/>
              </w:rPr>
              <w:t>能力建设与工作流程</w:t>
            </w:r>
          </w:p>
        </w:tc>
      </w:tr>
      <w:tr>
        <w:tc>
          <w:tcPr>
            <w:tcW w:type="dxa" w:w="5043"/>
            <w:shd w:fill="EAF3F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  <w:sz w:val="20"/>
              </w:rPr>
              <w:t>适用角色</w:t>
            </w:r>
          </w:p>
        </w:tc>
        <w:tc>
          <w:tcPr>
            <w:tcW w:type="dxa" w:w="5043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color w:val="243746"/>
                <w:sz w:val="20"/>
              </w:rPr>
              <w:t>产品、研发、体验与研究团队</w:t>
            </w:r>
          </w:p>
        </w:tc>
      </w:tr>
      <w:tr>
        <w:tc>
          <w:tcPr>
            <w:tcW w:type="dxa" w:w="5043"/>
            <w:shd w:fill="EAF3F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  <w:sz w:val="20"/>
              </w:rPr>
              <w:t>交付形式</w:t>
            </w:r>
          </w:p>
        </w:tc>
        <w:tc>
          <w:tcPr>
            <w:tcW w:type="dxa" w:w="5043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color w:val="243746"/>
                <w:sz w:val="20"/>
              </w:rPr>
              <w:t>可复用 Skill、标准数据合同、分析报告</w:t>
            </w:r>
          </w:p>
        </w:tc>
      </w:tr>
    </w:tbl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一、执行摘要</w:t>
      </w:r>
    </w:p>
    <w:p>
      <w:pPr>
        <w:pStyle w:val="Callout"/>
      </w:pPr>
      <w:r>
        <w:t>核心判断：这套能力不是 7 个彼此独立的脚本，而是一条从原始证据到可执行决策的标准工作链。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前端用 4 个证据型 Skill 覆盖 AppGallery 评论、版本、小红书语境和 Android/HarmonyOS 功能路径。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中段用评论标签化建立统一数据合同，解决不同来源字段、标签和证据索引不一致的问题。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后段用满意度分析和报告装配，把数据转成趋势归因、需求优先级、路线图和 KPI。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每个阶段都保存证据、验证状态、覆盖缺口和停止原因，避免把“看过页面”写成“已验证行为”。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使用者不必记住 Skill 名称，只需说清研究对象、范围、材料、重点问题和交付目标。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536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d_to_end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6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93" w:lineRule="auto"/>
      </w:pPr>
      <w:r>
        <w:rPr>
          <w:rFonts w:ascii="Microsoft YaHei" w:hAnsi="Microsoft YaHei" w:eastAsia="Microsoft YaHei"/>
          <w:b/>
          <w:color w:val="243746"/>
          <w:sz w:val="21"/>
        </w:rPr>
        <w:t>团队需要明确的不是某个脚本怎么写，而是</w:t>
      </w:r>
      <w:r>
        <w:rPr>
          <w:rFonts w:ascii="Microsoft YaHei" w:hAnsi="Microsoft YaHei" w:eastAsia="Microsoft YaHei"/>
          <w:color w:val="243746"/>
          <w:sz w:val="21"/>
        </w:rPr>
        <w:t>哪些研究任务纳入标准、哪些证据等级可以支持决策、哪些输出成为长期资产。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二、为什么要固化这套工作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过去容易出现的问题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固化后的对应机制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调研范围在过程中漂移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开始前锁定平台、版本、日期、地区、账号和证据源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不同批次可比较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截图很多，但结论无法回到来源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保留 UI Tree、源文件、源行、时间戳和证据 ID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结论可审计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主题、设备和优先级口径不同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冻结标签表、设备映射和规则版本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结果可复现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把“未检查”写成“没有功能”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区分已验证、仅入口、受阻、待核验和明确缺失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降低误判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报告堆数据，缺少可执行动作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固定“判断 → 证据 → 解释 → 行动启示”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输出可直接复用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敏感信息进入共享包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采集、导出和公开三个层次分别脱敏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降低隐私风险</w:t>
            </w:r>
          </w:p>
        </w:tc>
      </w:tr>
    </w:tbl>
    <w:p>
      <w:pPr>
        <w:spacing w:after="20"/>
      </w:pPr>
    </w:p>
    <w:p>
      <w:pPr>
        <w:pStyle w:val="Heading2"/>
        <w:spacing w:before="100" w:after="120"/>
      </w:pPr>
      <w:r>
        <w:rPr>
          <w:rFonts w:ascii="Microsoft YaHei" w:hAnsi="Microsoft YaHei" w:eastAsia="Microsoft YaHei"/>
          <w:b/>
          <w:color w:val="2F73B9"/>
          <w:sz w:val="26"/>
        </w:rPr>
        <w:t>总体思路：六个阶段形成闭环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锁定范围：固定对象、平台、版本、日期、账号、证据源和交付物。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采集证据：优先官方页面、UI Tree、结构化响应和授权测试设备。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数据治理：统一字段、稳定 ID、去重、匿名化并冻结规则版本。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多维分析：整体、趋势、版本、主题、设备、地域、画像和交叉需求。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成果交付：执行摘要、证据、优先级、路线图、KPI 和边界。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复盘资产：把规则、证据矩阵、受阻项和重测清单带到下一版本。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三、7 个 Skill 的能力分层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43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kill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436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21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21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521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关键输出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证据采集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AppGallery 评论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按月采集并审计虚拟列表空档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评论数据、UI Tree、覆盖审计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证据采集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AppGallery 更新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正式、尝鲜、测试计划分离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版本时间线、来源状态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证据采集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小红书舆情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查询样本、评论语境与匿名化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脱敏线程、复核表、边界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证据采集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功能盘点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按用户路径做跨平台/版本比较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功能树、证据、差异矩阵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数据治理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评论标签化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统一字段、ID、去重、匿名和标签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JSONL、CSV、摘要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分析决策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满意度分析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趋势、归因、多维拆解和优先级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聚合表、图表、P0/P1/P2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成果交付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满意度报告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装配已验证结论与行动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DOCX/Markdown、证据矩阵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四、证据怎样流转成结论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7863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idence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</w:pPr>
      <w:r>
        <w:t>反向追溯：核心判断 → 分析结论 → 聚合指标/图表 → 标签记录 → 原始记录 ID → 页面、UI Tree 或源文件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必须保留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不能做的事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原始证据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来源、采集时间、页面路径、原始文件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用后续结论覆盖原始记录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标准记录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稳定 ID、字段映射、去重关系、匿名状态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用匿名用户名参与去重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标签数据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标签/设备映射版本、证据摘录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为缺失字段编造值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聚合分析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口径、样本、阈值、规则版本、证据索引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把相关性写成确定因果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分析报告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判断、证据、解释、动作和限制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脱离分析结果重排优先级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五、一个任务实际怎样运行</w:t>
      </w:r>
    </w:p>
    <w:p>
      <w:pPr>
        <w:pStyle w:val="Heading2"/>
        <w:spacing w:before="100" w:after="120"/>
      </w:pPr>
      <w:r>
        <w:rPr>
          <w:rFonts w:ascii="Microsoft YaHei" w:hAnsi="Microsoft YaHei" w:eastAsia="Microsoft YaHei"/>
          <w:b/>
          <w:color w:val="2F73B9"/>
          <w:sz w:val="26"/>
        </w:rPr>
        <w:t>5.1 使用者只需给出五类信息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需要说明什么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研究对象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应用或竞品组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决定检索和证据边界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范围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平台、版本、日期、地区、账号和模块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保证可比较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证据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真机、网页、截图、UI Tree、CSV 或已有材料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决定验证深度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重点问题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功能差异、版本口碑、满意度或优先级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决定分析路径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交付物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CSV、矩阵、图表、DOCX 或简要摘要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决定输出合同</w:t>
            </w:r>
          </w:p>
        </w:tc>
      </w:tr>
    </w:tbl>
    <w:p>
      <w:pPr>
        <w:spacing w:after="20"/>
      </w:pPr>
    </w:p>
    <w:p>
      <w:pPr>
        <w:pStyle w:val="Heading2"/>
        <w:spacing w:before="100" w:after="120"/>
      </w:pPr>
      <w:r>
        <w:rPr>
          <w:rFonts w:ascii="Microsoft YaHei" w:hAnsi="Microsoft YaHei" w:eastAsia="Microsoft YaHei"/>
          <w:b/>
          <w:color w:val="2F73B9"/>
          <w:sz w:val="26"/>
        </w:rPr>
        <w:t>5.2 插件按目标组合工作链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043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自动组合的工作链</w:t>
            </w:r>
          </w:p>
        </w:tc>
      </w:tr>
      <w:tr>
        <w:tc>
          <w:tcPr>
            <w:tcW w:type="dxa" w:w="504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月度满意度分析</w:t>
            </w:r>
          </w:p>
        </w:tc>
        <w:tc>
          <w:tcPr>
            <w:tcW w:type="dxa" w:w="504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评论采集 → 版本采集 → 标签化 → 分析 → 报告</w:t>
            </w:r>
          </w:p>
        </w:tc>
      </w:tr>
      <w:tr>
        <w:tc>
          <w:tcPr>
            <w:tcW w:type="dxa" w:w="5043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版本发布复盘</w:t>
            </w:r>
          </w:p>
        </w:tc>
        <w:tc>
          <w:tcPr>
            <w:tcW w:type="dxa" w:w="5043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版本采集 → 前后评论 → 小红书语境 → 标签化/分析</w:t>
            </w:r>
          </w:p>
        </w:tc>
      </w:tr>
      <w:tr>
        <w:tc>
          <w:tcPr>
            <w:tcW w:type="dxa" w:w="504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跨平台能力补齐</w:t>
            </w:r>
          </w:p>
        </w:tc>
        <w:tc>
          <w:tcPr>
            <w:tcW w:type="dxa" w:w="504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功能盘点 → 差异矩阵 → 评论诉求交叉 → 优先级</w:t>
            </w:r>
          </w:p>
        </w:tc>
      </w:tr>
      <w:tr>
        <w:tc>
          <w:tcPr>
            <w:tcW w:type="dxa" w:w="5043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已有数据快速分析</w:t>
            </w:r>
          </w:p>
        </w:tc>
        <w:tc>
          <w:tcPr>
            <w:tcW w:type="dxa" w:w="5043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直接从标签化或满意度分析开始，不强制真机</w:t>
            </w:r>
          </w:p>
        </w:tc>
      </w:tr>
    </w:tbl>
    <w:p>
      <w:pPr>
        <w:spacing w:after="20"/>
      </w:pPr>
    </w:p>
    <w:p>
      <w:pPr>
        <w:pStyle w:val="Heading2"/>
        <w:spacing w:before="100" w:after="120"/>
      </w:pPr>
      <w:r>
        <w:rPr>
          <w:rFonts w:ascii="Microsoft YaHei" w:hAnsi="Microsoft YaHei" w:eastAsia="Microsoft YaHei"/>
          <w:b/>
          <w:color w:val="2F73B9"/>
          <w:sz w:val="26"/>
        </w:rPr>
        <w:t>5.3 使用提示示例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F1E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8A5313"/>
                <w:sz w:val="19"/>
              </w:rPr>
              <w:t>为指定应用做 7 月 HarmonyOS 满意度月报。只包含 AppGallery 评论和正式版本记录；评论脱敏并保留证据索引，完成标签化、多维分析和 12 页以内分析报告。没有证据的结论不要写。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六、最重要的六条方法原则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先锁范围，再收集证据：平台、版本、时间和来源不一致时，不把结果混在一起。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先保存原始证据，再做清洗和判断：任何结论都应能回到来源。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用用户操作路径组织功能：不使用源码模块代替产品功能层级。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区分已验证、入口可见和未知：覆盖缺口单独报告。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声量不等于优先级：同时考虑满意度、核心任务、风险、设备场景和依赖。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分析报告不重新发明事实：只装配已经通过分析和证据门禁的结论。</w:t>
      </w:r>
    </w:p>
    <w:p>
      <w:pPr>
        <w:pStyle w:val="Heading2"/>
        <w:spacing w:before="100" w:after="120"/>
      </w:pPr>
      <w:r>
        <w:rPr>
          <w:rFonts w:ascii="Microsoft YaHei" w:hAnsi="Microsoft YaHei" w:eastAsia="Microsoft YaHei"/>
          <w:b/>
          <w:color w:val="2F73B9"/>
          <w:sz w:val="26"/>
        </w:rPr>
        <w:t>统一的验证状态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允许的表述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已验证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指定版本/页面/行为已直接观察并校验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可以陈述存在与结果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仅入口存在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入口可见，下一级或结果未验证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只能陈述入口可见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外部佐证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非官方或其他渠道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作为补充证据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受阻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登录、权限、网络、地区、设备或数据阻塞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说明阻塞原因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待核验/未检查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证据不足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不能写成存在或缺失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明确缺失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合理路径在指定条件下已检查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在范围内陈述缺失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七、每个阶段的质量门禁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2828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ality_g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2806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不通过时怎么处理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范围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平台、版本、时间、来源和交付物明确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停止采集，先补范围合同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采集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状态可验证，原始证据和停止原因完整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标记受阻或改用材料模式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结构化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字段、ID、重复和匿名可解释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修复映射，重新校验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分析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样本、口径、阈值和规则可复现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返回标签或聚合阶段补证据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报告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核心结论有来源、证据、解释和限制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删除或降级为待核验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公开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无身份、账号、设备地址、凭据和内部数据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停止发布并重新脱敏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八、四种运行模式与依赖边界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521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适合任务</w:t>
            </w:r>
          </w:p>
        </w:tc>
        <w:tc>
          <w:tcPr>
            <w:tcW w:type="dxa" w:w="2521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需要的环境</w:t>
            </w:r>
          </w:p>
        </w:tc>
        <w:tc>
          <w:tcPr>
            <w:tcW w:type="dxa" w:w="2521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能支持的结论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纯分析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已有 CSV/JSONL、标签化、分析、Markdown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插件本身；批处理可用 Python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对已提供数据负责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官方网页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公开版本信息与结构化响应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网络与官方页面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对页面直接暴露字段负责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真机采集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AppGallery 与 HarmonyOS 功能行为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HDC、授权设备、必要时 Hypium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对指定版本和测试状态负责</w:t>
            </w:r>
          </w:p>
        </w:tc>
      </w:tr>
      <w:tr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已登录舆情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小红书帖子与评论语境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Agent Reach、用户控制的会话</w:t>
            </w:r>
          </w:p>
        </w:tc>
        <w:tc>
          <w:tcPr>
            <w:tcW w:type="dxa" w:w="2521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对本次检索样本负责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Microsoft YaHei" w:hAnsi="Microsoft YaHei" w:eastAsia="Microsoft YaHei"/>
          <w:color w:val="243746"/>
          <w:sz w:val="21"/>
        </w:rPr>
        <w:t>没有真机时可以继续做材料核验和纯分析，但不能声称完成了真机行为验证；网页只有当前版本时，不能声称得到完整版本历史。</w:t>
      </w:r>
    </w:p>
    <w:p>
      <w:pPr>
        <w:pStyle w:val="Heading2"/>
        <w:spacing w:before="100" w:after="120"/>
      </w:pPr>
      <w:r>
        <w:rPr>
          <w:rFonts w:ascii="Microsoft YaHei" w:hAnsi="Microsoft YaHei" w:eastAsia="Microsoft YaHei"/>
          <w:b/>
          <w:color w:val="2F73B9"/>
          <w:sz w:val="26"/>
        </w:rPr>
        <w:t>安全与隐私边界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设备目标只从当前 HDC 会话读取，不固化到脚本或提交。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登录态只能使用使用者控制的现有会话；不读取 Cookie，不自动登录。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评论用户名在导出时匿名化；正文仍需在对外分享前再次检查个人信息。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公开仓库只保留方法、脚本、模板和公开示例，实际数据默认留在使用者工作区。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九、输出怎样成为团队资产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资产层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下一次怎样复用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范围合同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平台、版本、日期、账号和模块边界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作为下一批次对比基线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原始证据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UI Tree、截图、页面响应、采集时间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复核争议结论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标准数据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稳定 ID、标签 CSV/JSONL、映射和标签表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跨期合并与抽查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分析资产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聚合表、图表、窗口和优先级规则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重跑同口径趋势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成果交付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报告、证据矩阵、质量检查和限制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复盘承诺与决策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重测清单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高风险、受阻项、标准功能 ID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新版本优先回归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Microsoft YaHei" w:hAnsi="Microsoft YaHei" w:eastAsia="Microsoft YaHei"/>
          <w:color w:val="243746"/>
          <w:sz w:val="21"/>
        </w:rPr>
        <w:t>团队协作的关键不是共享账号或设备地址，而是共享已经脱敏、可验证、可复现的标准资产。</w:t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十、对团队的价值与推广路径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标准化：不同应用、平台和研究者使用同一证据与输出合同。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可追溯：核心结论可以回到指标、记录和原始证据。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可复用：标签表、设备映射和标准功能 ID 跨版本继承。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可比较：平台、版本和周期的边界被明确冻结。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可控风险：隐私、账号、设备和因果表达都有停止规则。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减少重复劳动：新版本优先重测变化和高风险模块。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团队动作</w:t>
            </w:r>
          </w:p>
        </w:tc>
        <w:tc>
          <w:tcPr>
            <w:tcW w:type="dxa" w:w="3362"/>
            <w:shd w:fill="123B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试点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选择一类任务跑通全链路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字段与交付物可用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冻结规范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固定标签、映射、状态和门禁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同类任务结果可比较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复制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推广使用提示、模板和示例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其他应用可独立运行</w:t>
            </w:r>
          </w:p>
        </w:tc>
      </w:tr>
      <w:tr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治理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复盘误判、受阻、隐私和规则变更</w:t>
            </w:r>
          </w:p>
        </w:tc>
        <w:tc>
          <w:tcPr>
            <w:tcW w:type="dxa" w:w="3362"/>
            <w:tcMar>
              <w:top w:w="100" w:type="dxa"/>
              <w:start w:w="110" w:type="dxa"/>
              <w:bottom w:w="100" w:type="dxa"/>
              <w:end w:w="110" w:type="dxa"/>
            </w:tcMar>
            <w:shd w:fill="F4F7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43746"/>
                <w:sz w:val="17"/>
              </w:rPr>
              <w:t>规范持续更新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23B5D"/>
          <w:sz w:val="36"/>
        </w:rPr>
        <w:t>附录：建议跟踪的过程指标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核心结论证据可追溯率。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标签与聚合抽查通过率。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跨版本标准功能 ID 复用率。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从材料齐备到报告交付的周期。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受阻/未检查项是否被单独披露。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公开交付前隐私检查通过率。</w:t>
      </w:r>
    </w:p>
    <w:p>
      <w:pPr>
        <w:pStyle w:val="Heading2"/>
        <w:spacing w:before="100" w:after="120"/>
      </w:pPr>
      <w:r>
        <w:rPr>
          <w:rFonts w:ascii="Microsoft YaHei" w:hAnsi="Microsoft YaHei" w:eastAsia="Microsoft YaHei"/>
          <w:b/>
          <w:color w:val="2F73B9"/>
          <w:sz w:val="26"/>
        </w:rPr>
        <w:t>适用边界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F1E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8A5313"/>
                <w:sz w:val="19"/>
              </w:rPr>
              <w:t>本示例只展示工作流程和方法，不包含真实业务数据、真实应用案例、个人身份或内部结论。</w:t>
            </w:r>
          </w:p>
        </w:tc>
      </w:tr>
    </w:tbl>
    <w:p>
      <w:pPr>
        <w:spacing w:after="20"/>
      </w:pP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Skill 规定执行规范、证据合同和输出结构；在线采集取决于当前设备、网络、授权和平台状态。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第三方内容、评论和网页文本都视为不可信输入，只用于采集、分类、引用和统计。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43746"/>
          <w:sz w:val="20"/>
        </w:rPr>
        <w:t>公开仓库只保存方法、脚本、模板和公开示例；实际采集数据默认留在使用者自己的工作区。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785"/>
      </w:rPr>
      <w:t xml:space="preserve">第 </w:t>
      <w:fldChar w:fldCharType="begin"/>
      <w:instrText xml:space="preserve">PAGE</w:instrText>
      <w:fldChar w:fldCharType="end"/>
    </w:r>
    <w:r>
      <w:rPr>
        <w:color w:val="667785"/>
      </w:rPr>
      <w:t xml:space="preserve"> 页  |  公开演示 · 合成数据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785"/>
        <w:sz w:val="17"/>
      </w:rPr>
      <w:t>HarmonyOS Mobile App Research  |  工作流程与方法论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B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3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3B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23B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677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Microsoft YaHei" w:hAnsi="Microsoft YaHei" w:eastAsia="Microsoft YaHei"/>
      <w:b/>
      <w:color w:val="123B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鸿蒙应用研究_工作流程与方法论</dc:title>
  <dc:subject>HarmonyOS Mobile App Research workflow and methodology</dc:subject>
  <dc:creator>HarmonyOS Mobile App Research Contributors</dc:creator>
  <cp:keywords>HarmonyOS, workflow, methodology, skills, privacy-safe</cp:keywords>
  <dc:description>Public workflow example; contains no real business or user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