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ECNG 2005 Laboratory and Project Design 3</w:t>
      </w:r>
    </w:p>
    <w:p>
      <w:pPr>
        <w:spacing w:after="320"/>
        <w:jc w:val="center"/>
      </w:pPr>
      <w:r>
        <w:rPr>
          <w:rFonts w:ascii="Arial" w:cs="Arial" w:eastAsia="Arial" w:hAnsi="Arial"/>
          <w:sz w:val="22"/>
          <w:szCs w:val="22"/>
        </w:rPr>
        <w:t xml:space="preserve">Community Service Learning Group Project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76"/>
        <w:gridCol w:w="1400"/>
        <w:gridCol w:w="1900"/>
        <w:gridCol w:w="1950"/>
      </w:tblGrid>
      <w:tr>
        <w:trPr>
          <w:tblHeader/>
        </w:trPr>
        <w:tc>
          <w:tcPr>
            <w:tcW w:type="dxa" w:w="2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1F1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27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1F1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Quantity Required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1F1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 Cost (TTD)</w:t>
            </w:r>
          </w:p>
        </w:tc>
        <w:tc>
          <w:tcPr>
            <w:tcW w:type="dxa" w:w="1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1F1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Estimated Cost (TTD)</w:t>
            </w:r>
          </w:p>
        </w:tc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1F1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Continuous Glucose Monitor (CGM)</w:t>
            </w:r>
          </w:p>
        </w:tc>
        <w:tc>
          <w:tcPr>
            <w:tcW w:type="dxa" w:w="1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TTD5,600.00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 be provided by Dr. Sean Rocke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 2.5 Flash API (AI Food Analysis)</w:t>
            </w:r>
          </w:p>
        </w:tc>
        <w:tc>
          <w:tcPr>
            <w:tcW w:type="dxa" w:w="1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1,000 users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TTD420.00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Food image recognition &amp; nutrition analysis. Free tier (up to 1,500 req/day) covers pilot-scale load.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VPS Backend Server — PostgreSQL + REST API (DigitalOcean)</w:t>
            </w:r>
          </w:p>
        </w:tc>
        <w:tc>
          <w:tcPr>
            <w:tcW w:type="dxa" w:w="1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months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TTD81.50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TTD978.00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Self-hosted research database. Ensures data sovereignty &amp; IRB/ethics compliance. SSL free via Let’s Encrypt.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Domain Name (API Endpoint)</w:t>
            </w:r>
          </w:p>
        </w:tc>
        <w:tc>
          <w:tcPr>
            <w:tcW w:type="dxa" w:w="1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year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TTD82.00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TTD82.00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Secure HTTPS endpoint for encrypted app-to-server communication.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TTD7,080.00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2026-03-13T02:00:57.333Z</dcterms:created>
  <dcterms:modified xsi:type="dcterms:W3CDTF">2026-03-13T02:00:57.333Z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